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440001-2025-28774</w:t>
      </w:r>
    </w:p>
    <w:p>
      <w:pPr>
        <w:pStyle w:val="null3"/>
        <w:jc w:val="center"/>
        <w:outlineLvl w:val="3"/>
      </w:pPr>
      <w:r>
        <w:rPr>
          <w:sz w:val="24"/>
          <w:b/>
        </w:rPr>
        <w:t>采购项目编号：</w:t>
      </w:r>
      <w:r>
        <w:rPr>
          <w:sz w:val="24"/>
          <w:b/>
        </w:rPr>
        <w:t>GZCQC2500HG05010</w:t>
      </w:r>
    </w:p>
    <w:p>
      <w:pPr>
        <w:pStyle w:val="null3"/>
        <w:jc w:val="center"/>
        <w:outlineLvl w:val="3"/>
      </w:pPr>
      <w:r>
        <w:rPr>
          <w:sz w:val="24"/>
          <w:b/>
        </w:rPr>
        <w:t>项目名称：</w:t>
      </w:r>
      <w:r>
        <w:rPr>
          <w:sz w:val="24"/>
          <w:b/>
        </w:rPr>
        <w:t>2025年2200台安卓终端机采购项目</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广东省体育彩票中心</w:t>
      </w:r>
      <w:r>
        <w:rPr/>
        <w:t>的委托，采用</w:t>
      </w:r>
      <w:r>
        <w:rPr/>
        <w:t>公开招标</w:t>
      </w:r>
      <w:r>
        <w:rPr/>
        <w:t>方式组织采购</w:t>
      </w:r>
      <w:r>
        <w:rPr/>
        <w:t>2025年2200台安卓终端机采购项目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2025年2200台安卓终端机采购项目</w:t>
      </w:r>
    </w:p>
    <w:p>
      <w:pPr>
        <w:pStyle w:val="null3"/>
        <w:ind w:firstLine="480"/>
      </w:pPr>
      <w:r>
        <w:rPr/>
        <w:t>采购计划编号：</w:t>
      </w:r>
      <w:r>
        <w:rPr/>
        <w:t>440001-2025-28774</w:t>
      </w:r>
    </w:p>
    <w:p>
      <w:pPr>
        <w:pStyle w:val="null3"/>
        <w:ind w:firstLine="480"/>
      </w:pPr>
      <w:r>
        <w:rPr/>
        <w:t>采购项目编号：</w:t>
      </w:r>
      <w:r>
        <w:rPr/>
        <w:t>GZCQC2500HG05010</w:t>
      </w:r>
    </w:p>
    <w:p>
      <w:pPr>
        <w:pStyle w:val="null3"/>
        <w:ind w:firstLine="480"/>
      </w:pPr>
      <w:r>
        <w:rPr/>
        <w:t>采购方式：</w:t>
      </w:r>
      <w:r>
        <w:rPr/>
        <w:t>公开招标</w:t>
      </w:r>
    </w:p>
    <w:p>
      <w:pPr>
        <w:pStyle w:val="null3"/>
        <w:ind w:firstLine="480"/>
      </w:pPr>
      <w:r>
        <w:rPr/>
        <w:t>预算金额：</w:t>
      </w:r>
      <w:r>
        <w:rPr/>
        <w:t>8,800,000.00</w:t>
      </w:r>
      <w:r>
        <w:rPr/>
        <w:t>元</w:t>
      </w:r>
    </w:p>
    <w:p>
      <w:pPr>
        <w:pStyle w:val="null3"/>
        <w:outlineLvl w:val="3"/>
      </w:pPr>
      <w:r>
        <w:rPr>
          <w:sz w:val="24"/>
          <w:b/>
        </w:rPr>
        <w:t>2.项目内容及需求情况（采购项目技术规格、参数及要求）</w:t>
      </w:r>
    </w:p>
    <w:p>
      <w:pPr>
        <w:pStyle w:val="null3"/>
      </w:pPr>
      <w:r>
        <w:rPr/>
        <w:t>采购包1(2025年2200台安卓终端机采购项目):</w:t>
      </w:r>
    </w:p>
    <w:p>
      <w:pPr>
        <w:pStyle w:val="null3"/>
      </w:pPr>
      <w:r>
        <w:rPr/>
        <w:t>采购包预算金额：8,800,000.00元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彩票销售设备</w:t>
            </w:r>
          </w:p>
        </w:tc>
        <w:tc>
          <w:tcPr>
            <w:tcW w:type="dxa" w:w="2136"/>
          </w:tcPr>
          <w:p>
            <w:pPr>
              <w:pStyle w:val="null3"/>
            </w:pPr>
            <w:r>
              <w:rPr/>
              <w:t>体育彩票安卓终端机</w:t>
            </w:r>
          </w:p>
        </w:tc>
        <w:tc>
          <w:tcPr>
            <w:tcW w:type="dxa" w:w="1187"/>
          </w:tcPr>
          <w:p>
            <w:pPr>
              <w:pStyle w:val="null3"/>
            </w:pPr>
            <w:r>
              <w:rPr/>
              <w:t>2,200(台)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合同履行期限：详见《第二章 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3）具有良好的商业信誉和健全的财务会计制度：提供以下2种证明材料之一：①2024年度经会计师事务所审计的财务状况报告；②基本开户行出具的资信证明和《基本存款账号信息》。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采购包1（2025年2200台安卓终端机采购项目）：</w:t>
      </w:r>
      <w:r>
        <w:rPr/>
        <w:t>本项目整体专门面向小微企业采购。供应商提供的所有产品须全部由小微企业生产且使用该小微企业商号或注册商标。小微企业须符合本项目采购标的对应行业（工业）的政策划分标准。监狱企业、残疾人福利单位视同小型、微型企业。 注1：小微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 注2：本项目为货物类，请填写货物类型的《中小企业声明函》，如按服务或工程类型的《中小企业声明函》进行填写，不视为小微企业。</w:t>
      </w:r>
    </w:p>
    <w:p>
      <w:pPr>
        <w:pStyle w:val="null3"/>
        <w:outlineLvl w:val="3"/>
      </w:pPr>
      <w:r>
        <w:rPr>
          <w:sz w:val="24"/>
          <w:b/>
        </w:rPr>
        <w:t>3.本项目特定的资格要求：</w:t>
      </w:r>
    </w:p>
    <w:p>
      <w:pPr>
        <w:pStyle w:val="null3"/>
      </w:pPr>
      <w:r>
        <w:rPr/>
        <w:t>采购包1（2025年2200台安卓终端机采购项目）：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4)本项目不接受联合体投标，不接受分包、转包。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广州市天河区广州大道中1256号</w:t>
      </w:r>
    </w:p>
    <w:p>
      <w:pPr>
        <w:pStyle w:val="null3"/>
        <w:ind w:firstLine="480"/>
      </w:pPr>
      <w:r>
        <w:rPr/>
        <w:t xml:space="preserve"> 联系方式：</w:t>
      </w:r>
      <w:r>
        <w:rPr/>
        <w:t>020-37602594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1、涉及到软件产品的，须采购和使用正版软件。</w:t>
      </w:r>
    </w:p>
    <w:p>
      <w:pPr>
        <w:pStyle w:val="null3"/>
        <w:ind w:firstLine="420"/>
        <w:jc w:val="left"/>
      </w:pPr>
      <w:r>
        <w:rPr>
          <w:sz w:val="24"/>
        </w:rPr>
        <w:t>2、投标人没有在投标文件中注明偏离（文字说明或在响应表注明）的参数、配置、条款视为被投标人完全接受。</w:t>
      </w:r>
    </w:p>
    <w:p>
      <w:pPr>
        <w:pStyle w:val="null3"/>
        <w:ind w:firstLine="420"/>
        <w:jc w:val="left"/>
      </w:pPr>
      <w:r>
        <w:rPr>
          <w:sz w:val="24"/>
        </w:rPr>
        <w:t>3、投标人应保证，采购人在中华人民共和国使用该货物或货物的任何一部分时，免受第三方提出的侵犯其专利权、商标权、著作权或其它知识产权的起诉。</w:t>
      </w:r>
    </w:p>
    <w:p>
      <w:pPr>
        <w:pStyle w:val="null3"/>
        <w:ind w:firstLine="420"/>
        <w:jc w:val="left"/>
      </w:pPr>
      <w:r>
        <w:rPr>
          <w:sz w:val="24"/>
        </w:rPr>
        <w:t>★4、投标人所投标的产品必须是《体育总局彩票中心关于 2018 年体育彩票安卓终端机适配性测试结果(含第一批、第二批)的通知》（体彩字[2018]162号）文件中通过适配性测试的安卓终端机，若开标前国家体育总局彩票管理中心发布新的通过测试目录，以最新通过测试目录为准。请投标人在投标文件中提供相关证明材料复印件。</w:t>
      </w:r>
    </w:p>
    <w:p>
      <w:pPr>
        <w:pStyle w:val="null3"/>
      </w:pPr>
      <w:r>
        <w:rPr/>
        <w:t>采购包1（2025年2200台安卓终端机采购项目）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自采购人下达供货通知之日起，1个月内完成货物的供货、安装调试等服务，并将相关交付材料报采购人，申请办理验收。交付要求：合同签订后一个月内交付200台，2025年11月交付2000台。</w:t>
            </w:r>
          </w:p>
        </w:tc>
      </w:tr>
      <w:tr>
        <w:tc>
          <w:tcPr>
            <w:tcW w:type="dxa" w:w="4153"/>
          </w:tcPr>
          <w:p>
            <w:pPr>
              <w:pStyle w:val="null3"/>
            </w:pPr>
            <w:r>
              <w:rPr/>
              <w:t>标的提供的地点</w:t>
            </w:r>
          </w:p>
        </w:tc>
        <w:tc>
          <w:tcPr>
            <w:tcW w:type="dxa" w:w="4153"/>
          </w:tcPr>
          <w:p>
            <w:pPr>
              <w:pStyle w:val="null3"/>
            </w:pPr>
            <w:r>
              <w:rPr/>
              <w:t>广东省内采购人指定地点</w:t>
            </w:r>
          </w:p>
        </w:tc>
      </w:tr>
      <w:tr>
        <w:tc>
          <w:tcPr>
            <w:tcW w:type="dxa" w:w="4153"/>
          </w:tcPr>
          <w:p>
            <w:pPr>
              <w:pStyle w:val="null3"/>
            </w:pPr>
            <w:r>
              <w:rPr/>
              <w:t>付款方式</w:t>
            </w:r>
          </w:p>
        </w:tc>
        <w:tc>
          <w:tcPr>
            <w:tcW w:type="dxa" w:w="4153"/>
          </w:tcPr>
          <w:p>
            <w:pPr>
              <w:pStyle w:val="null3"/>
            </w:pPr>
            <w:r>
              <w:rPr/>
              <w:t>1期：支付比例40%,签订后5个工作日内，采购人收到发票10个工作日内向中标人支付合同金额的40%作预付款。中标人需及时提供等额的正式发票给采购人，以便采购人办理支付手续。</w:t>
            </w:r>
          </w:p>
          <w:p>
            <w:pPr>
              <w:pStyle w:val="null3"/>
            </w:pPr>
            <w:r>
              <w:rPr/>
              <w:t>2期：支付比例60%,所有货物交付完成，并经采购人验收合格后15天内，支付合同金额的60%。中标人需及时提供等额的正式发票给采购人，以便采购人办理支付手续。 注：因采购人使用的是财政资金，采购人在规定的付款时间为向政府采购支付部门提出办理财政支付申请手续的时间，在规定的时间内提出支付申请手续后即视为采购人已经按期支付。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1期：采购人按以下验收要求实施验收： 1.交付地点：分别送到采购人指定地点并安装验收完毕。 2.交付时间：自采购人下达供货通知之日起，1个月内完成货物的供货、安装调试等服务，并将相关交付材料报采购人，申请办理验收；投标人投标时需提交详细的供货计划，安装调试和测试方案。 3.开箱检验：所有设备、器材在开箱时应完好，无破损，数量、配置、质量、技术性能指标等应与投标文件及投标样机相符。 4.文档：本项目的中标人应提供完整的原厂家随机文档和软件、设计文档、安装配置文档、测试文档等。中标人提供包括但不限于满足货物安装、使用和维护的技术文件。 5.抽检：中标人应派出有经验的、高水平的技术人员根据《电脑体育彩票销售终端机到货抽检实施细则（2020）》相关要求协助完成到货设备抽检工作。如果任何被抽检或测试的产品不能满足采购要求的，采购人可以拒绝接受该产品，中标人需承担被采购人终止合同的一切风险和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★报价要求，本项目按总价报价，投标总价=投标单价×2200，凡超过总价最高限价（8,800,000.00元）或单价最高限价（4,000.00元/台）的报价均视为无效投标。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彩票销售设备</w:t>
            </w:r>
          </w:p>
        </w:tc>
        <w:tc>
          <w:tcPr>
            <w:tcW w:type="dxa" w:w="831"/>
          </w:tcPr>
          <w:p>
            <w:pPr>
              <w:pStyle w:val="null3"/>
              <w:jc w:val="left"/>
            </w:pPr>
            <w:r>
              <w:rPr/>
              <w:t>体育彩票安卓终端机</w:t>
            </w:r>
          </w:p>
        </w:tc>
        <w:tc>
          <w:tcPr>
            <w:tcW w:type="dxa" w:w="831"/>
          </w:tcPr>
          <w:p>
            <w:pPr>
              <w:pStyle w:val="null3"/>
              <w:jc w:val="left"/>
            </w:pPr>
            <w:r>
              <w:rPr/>
              <w:t>台</w:t>
            </w:r>
          </w:p>
        </w:tc>
        <w:tc>
          <w:tcPr>
            <w:tcW w:type="dxa" w:w="831"/>
          </w:tcPr>
          <w:p>
            <w:pPr>
              <w:pStyle w:val="null3"/>
              <w:jc w:val="right"/>
            </w:pPr>
            <w:r>
              <w:rPr/>
              <w:t>2,200.00</w:t>
            </w:r>
          </w:p>
        </w:tc>
        <w:tc>
          <w:tcPr>
            <w:tcW w:type="dxa" w:w="831"/>
          </w:tcPr>
          <w:p>
            <w:pPr>
              <w:pStyle w:val="null3"/>
              <w:jc w:val="right"/>
            </w:pPr>
            <w:r>
              <w:rPr/>
              <w:t>4,000.00</w:t>
            </w:r>
          </w:p>
        </w:tc>
        <w:tc>
          <w:tcPr>
            <w:tcW w:type="dxa" w:w="831"/>
          </w:tcPr>
          <w:p>
            <w:pPr>
              <w:pStyle w:val="null3"/>
              <w:jc w:val="right"/>
            </w:pPr>
            <w:r>
              <w:rPr/>
              <w:t>8,800,000.00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体育彩票安卓终端机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4"/>
                <w:b/>
              </w:rPr>
              <w:t>一、体育彩票安卓终端机配置要求</w:t>
            </w:r>
          </w:p>
          <w:p>
            <w:pPr>
              <w:pStyle w:val="null3"/>
              <w:ind w:firstLine="422"/>
              <w:jc w:val="both"/>
            </w:pPr>
            <w:r>
              <w:rPr>
                <w:sz w:val="24"/>
                <w:b/>
              </w:rPr>
              <w:t>（一）采购清单</w:t>
            </w:r>
          </w:p>
          <w:tbl>
            <w:tblPr>
              <w:tblBorders>
                <w:top w:val="none" w:color="000000" w:sz="4"/>
                <w:left w:val="none" w:color="000000" w:sz="4"/>
                <w:bottom w:val="none" w:color="000000" w:sz="4"/>
                <w:right w:val="none" w:color="000000" w:sz="4"/>
                <w:insideH w:val="none"/>
                <w:insideV w:val="none"/>
              </w:tblBorders>
            </w:tblPr>
            <w:tblGrid>
              <w:gridCol w:w="571"/>
              <w:gridCol w:w="3256"/>
              <w:gridCol w:w="971"/>
              <w:gridCol w:w="800"/>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2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2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体育彩票安卓终端机</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r>
          </w:tbl>
          <w:p>
            <w:pPr>
              <w:pStyle w:val="null3"/>
              <w:ind w:firstLine="420"/>
              <w:jc w:val="both"/>
            </w:pPr>
            <w:r>
              <w:rPr>
                <w:sz w:val="24"/>
              </w:rPr>
              <w:t>本项目核心产品：体育彩票安卓终端机。</w:t>
            </w:r>
          </w:p>
          <w:p>
            <w:pPr>
              <w:pStyle w:val="null3"/>
              <w:ind w:firstLine="420"/>
              <w:jc w:val="both"/>
            </w:pPr>
            <w:r>
              <w:rPr>
                <w:sz w:val="24"/>
                <w:b/>
              </w:rPr>
              <w:t>（二）体育彩票安卓终端机各部件配置要求</w:t>
            </w:r>
          </w:p>
          <w:tbl>
            <w:tblPr>
              <w:tblBorders>
                <w:top w:val="none" w:color="000000" w:sz="4"/>
                <w:left w:val="none" w:color="000000" w:sz="4"/>
                <w:bottom w:val="none" w:color="000000" w:sz="4"/>
                <w:right w:val="none" w:color="000000" w:sz="4"/>
                <w:insideH w:val="none"/>
                <w:insideV w:val="none"/>
              </w:tblBorders>
            </w:tblPr>
            <w:tblGrid>
              <w:gridCol w:w="457"/>
              <w:gridCol w:w="628"/>
              <w:gridCol w:w="1142"/>
              <w:gridCol w:w="3370"/>
            </w:tblGrid>
            <w:tr>
              <w:tc>
                <w:tcPr>
                  <w:tcW w:type="dxa" w:w="45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序号</w:t>
                  </w:r>
                </w:p>
              </w:tc>
              <w:tc>
                <w:tcPr>
                  <w:tcW w:type="dxa" w:w="62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项目</w:t>
                  </w:r>
                </w:p>
              </w:tc>
              <w:tc>
                <w:tcPr>
                  <w:tcW w:type="dxa" w:w="114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设备主要部件</w:t>
                  </w:r>
                </w:p>
              </w:tc>
              <w:tc>
                <w:tcPr>
                  <w:tcW w:type="dxa" w:w="337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详细技术参数及功能（配置）要求</w:t>
                  </w:r>
                </w:p>
              </w:tc>
            </w:tr>
            <w:tr>
              <w:tc>
                <w:tcPr>
                  <w:tcW w:type="dxa" w:w="45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w:t>
                  </w:r>
                </w:p>
              </w:tc>
              <w:tc>
                <w:tcPr>
                  <w:tcW w:type="dxa" w:w="628"/>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主机</w:t>
                  </w: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中央处理器</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pPr>
                  <w:r>
                    <w:rPr>
                      <w:sz w:val="24"/>
                    </w:rPr>
                    <w:t>▲中央处理器核心数量不低于2个、主频不低于2GHz，或核心数量不低于4个、主频不低于1GHz。</w:t>
                  </w:r>
                  <w:r>
                    <w:rPr>
                      <w:sz w:val="24"/>
                      <w:b/>
                    </w:rPr>
                    <w:t>投标时提供技术资料证明材料（如制造厂商产品官网图片、产品说明手册或制造厂商公开发布的印刷的资料或官网技术资料截图或技术白皮书、具有CMA或CNAS认证的第三方检测机构出具的检测报告）。</w:t>
                  </w:r>
                </w:p>
              </w:tc>
            </w:tr>
            <w:tr>
              <w:tc>
                <w:tcPr>
                  <w:tcW w:type="dxa" w:w="457"/>
                  <w:vMerge/>
                  <w:tcBorders>
                    <w:top w:val="none" w:color="000000" w:sz="4"/>
                    <w:left w:val="singl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内存</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pPr>
                  <w:r>
                    <w:rPr>
                      <w:sz w:val="24"/>
                    </w:rPr>
                    <w:t>▲不低于2GB。</w:t>
                  </w:r>
                  <w:r>
                    <w:rPr>
                      <w:sz w:val="24"/>
                      <w:b/>
                    </w:rPr>
                    <w:t>投标时提供技术资料证明材料（如制造厂商产品官网图片、产品说明手册或制造厂商公开发布的印刷的资料或官网技术资料截图或技术白皮书、具有CMA或CNAS认证的第三方检测机构出具的检测报告）。</w:t>
                  </w:r>
                </w:p>
              </w:tc>
            </w:tr>
            <w:tr>
              <w:tc>
                <w:tcPr>
                  <w:tcW w:type="dxa" w:w="457"/>
                  <w:vMerge/>
                  <w:tcBorders>
                    <w:top w:val="none" w:color="000000" w:sz="4"/>
                    <w:left w:val="singl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存储</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pPr>
                  <w:r>
                    <w:rPr>
                      <w:sz w:val="24"/>
                    </w:rPr>
                    <w:t>▲不低于16GB。</w:t>
                  </w:r>
                  <w:r>
                    <w:rPr>
                      <w:sz w:val="24"/>
                      <w:b/>
                    </w:rPr>
                    <w:t>投标时提供技术资料证明材料（如制造厂商产品官网图片、产品说明手册或制造厂商公开发布的印刷的资料或官网技术资料截图或技术白皮书、具有CMA或CNAS认证的第三方检测机构出具的检测报告）。</w:t>
                  </w:r>
                </w:p>
              </w:tc>
            </w:tr>
            <w:tr>
              <w:tc>
                <w:tcPr>
                  <w:tcW w:type="dxa" w:w="457"/>
                  <w:vMerge/>
                  <w:tcBorders>
                    <w:top w:val="none" w:color="000000" w:sz="4"/>
                    <w:left w:val="singl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硬件接口</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（1）出厂时空余 USB 接口数量不少于3个（其中一个用于 USB Key，另外两个用于未来扩展使用）；</w:t>
                  </w:r>
                </w:p>
                <w:p>
                  <w:pPr>
                    <w:pStyle w:val="null3"/>
                    <w:ind w:firstLine="4"/>
                    <w:jc w:val="left"/>
                  </w:pPr>
                  <w:r>
                    <w:rPr>
                      <w:sz w:val="24"/>
                    </w:rPr>
                    <w:t>（2）禁用PS2接口；</w:t>
                  </w:r>
                </w:p>
                <w:p>
                  <w:pPr>
                    <w:pStyle w:val="null3"/>
                    <w:ind w:firstLine="4"/>
                    <w:jc w:val="left"/>
                  </w:pPr>
                  <w:r>
                    <w:rPr>
                      <w:sz w:val="24"/>
                    </w:rPr>
                    <w:t>（3）RJ45 以太有线网卡1个，10/100M 自适应，禁止使用10/100/1000M自适应网卡。</w:t>
                  </w:r>
                </w:p>
              </w:tc>
            </w:tr>
            <w:tr>
              <w:tc>
                <w:tcPr>
                  <w:tcW w:type="dxa" w:w="457"/>
                  <w:vMerge/>
                  <w:tcBorders>
                    <w:top w:val="none" w:color="000000" w:sz="4"/>
                    <w:left w:val="singl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无线网卡</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1个，802.11 b/g/n。</w:t>
                  </w:r>
                </w:p>
              </w:tc>
            </w:tr>
            <w:tr>
              <w:tc>
                <w:tcPr>
                  <w:tcW w:type="dxa" w:w="457"/>
                  <w:vMerge/>
                  <w:tcBorders>
                    <w:top w:val="none" w:color="000000" w:sz="4"/>
                    <w:left w:val="singl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扩展功能</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（1）在主板上支持可扩展4G全网通模块；</w:t>
                  </w:r>
                </w:p>
                <w:p>
                  <w:pPr>
                    <w:pStyle w:val="null3"/>
                    <w:ind w:firstLine="4"/>
                    <w:jc w:val="left"/>
                  </w:pPr>
                  <w:r>
                    <w:rPr>
                      <w:sz w:val="24"/>
                    </w:rPr>
                    <w:t>（2）支持定位功能；</w:t>
                  </w:r>
                </w:p>
                <w:p>
                  <w:pPr>
                    <w:pStyle w:val="null3"/>
                    <w:ind w:firstLine="4"/>
                    <w:jc w:val="left"/>
                  </w:pPr>
                  <w:r>
                    <w:rPr>
                      <w:sz w:val="24"/>
                    </w:rPr>
                    <w:t>（3）支持 WIFI 无线通讯；</w:t>
                  </w:r>
                </w:p>
                <w:p>
                  <w:pPr>
                    <w:pStyle w:val="null3"/>
                    <w:ind w:firstLine="4"/>
                    <w:jc w:val="left"/>
                  </w:pPr>
                  <w:r>
                    <w:rPr>
                      <w:sz w:val="24"/>
                    </w:rPr>
                    <w:t>（4）支持蓝牙无线通信。</w:t>
                  </w:r>
                </w:p>
              </w:tc>
            </w:tr>
            <w:tr>
              <w:tc>
                <w:tcPr>
                  <w:tcW w:type="dxa" w:w="457"/>
                  <w:vMerge/>
                  <w:tcBorders>
                    <w:top w:val="none" w:color="000000" w:sz="4"/>
                    <w:left w:val="singl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显卡</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（1）分辨率支持1280×800或1280×720或1366×768；</w:t>
                  </w:r>
                </w:p>
                <w:p>
                  <w:pPr>
                    <w:pStyle w:val="null3"/>
                    <w:ind w:firstLine="4"/>
                    <w:jc w:val="left"/>
                  </w:pPr>
                  <w:r>
                    <w:rPr>
                      <w:sz w:val="24"/>
                    </w:rPr>
                    <w:t>（2）解码支持H.264、MPEG1/2/4，720P解码率最低30帧/秒；</w:t>
                  </w:r>
                </w:p>
                <w:p>
                  <w:pPr>
                    <w:pStyle w:val="null3"/>
                    <w:ind w:firstLine="4"/>
                    <w:jc w:val="left"/>
                  </w:pPr>
                  <w:r>
                    <w:rPr>
                      <w:sz w:val="24"/>
                    </w:rPr>
                    <w:t>（3）具备 HDMI 输出端口；</w:t>
                  </w:r>
                </w:p>
                <w:p>
                  <w:pPr>
                    <w:pStyle w:val="null3"/>
                    <w:ind w:firstLine="4"/>
                    <w:jc w:val="left"/>
                  </w:pPr>
                  <w:r>
                    <w:rPr>
                      <w:sz w:val="24"/>
                    </w:rPr>
                    <w:t>（4）支持OpenGL ES 2.0 及以上。</w:t>
                  </w:r>
                </w:p>
              </w:tc>
            </w:tr>
            <w:tr>
              <w:tc>
                <w:tcPr>
                  <w:tcW w:type="dxa" w:w="457"/>
                  <w:vMerge/>
                  <w:tcBorders>
                    <w:top w:val="none" w:color="000000" w:sz="4"/>
                    <w:left w:val="singl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音频要求</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（1）至少支持 OGG、MPEG-1、MPEG-2、AAC 解码；</w:t>
                  </w:r>
                </w:p>
                <w:p>
                  <w:pPr>
                    <w:pStyle w:val="null3"/>
                    <w:ind w:firstLine="4"/>
                    <w:jc w:val="left"/>
                  </w:pPr>
                  <w:r>
                    <w:rPr>
                      <w:sz w:val="24"/>
                    </w:rPr>
                    <w:t>（2）集成扬声器；</w:t>
                  </w:r>
                </w:p>
                <w:p>
                  <w:pPr>
                    <w:pStyle w:val="null3"/>
                    <w:ind w:firstLine="4"/>
                    <w:jc w:val="left"/>
                  </w:pPr>
                  <w:r>
                    <w:rPr>
                      <w:sz w:val="24"/>
                    </w:rPr>
                    <w:t>（3）具备音频输出接口。</w:t>
                  </w:r>
                </w:p>
              </w:tc>
            </w:tr>
            <w:tr>
              <w:tc>
                <w:tcPr>
                  <w:tcW w:type="dxa" w:w="45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2</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打印机</w:t>
                  </w: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打印设备</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（1）打印方式：热敏；接口：禁用并口与串口；供电：稳定支持打印机工作瞬时产生的高峰值电流；打印模式：支持行模式、页模式；</w:t>
                  </w:r>
                </w:p>
                <w:p>
                  <w:pPr>
                    <w:pStyle w:val="null3"/>
                    <w:ind w:firstLine="4"/>
                    <w:jc w:val="left"/>
                  </w:pPr>
                  <w:r>
                    <w:rPr>
                      <w:sz w:val="24"/>
                    </w:rPr>
                    <w:t>（2）打印分辨率：不低于 200dpi；</w:t>
                  </w:r>
                </w:p>
                <w:p>
                  <w:pPr>
                    <w:pStyle w:val="null3"/>
                    <w:ind w:firstLine="4"/>
                    <w:jc w:val="left"/>
                  </w:pPr>
                  <w:r>
                    <w:rPr>
                      <w:sz w:val="24"/>
                    </w:rPr>
                    <w:t>（3）打印速度：打印体育彩票速度不小于 45 张/分钟。</w:t>
                  </w:r>
                </w:p>
                <w:p>
                  <w:pPr>
                    <w:pStyle w:val="null3"/>
                    <w:ind w:firstLine="4"/>
                    <w:jc w:val="left"/>
                  </w:pPr>
                  <w:r>
                    <w:rPr>
                      <w:sz w:val="24"/>
                    </w:rPr>
                    <w:t>（4）可安装纸卷要求：</w:t>
                  </w:r>
                </w:p>
                <w:p>
                  <w:pPr>
                    <w:pStyle w:val="null3"/>
                    <w:ind w:firstLine="4"/>
                    <w:jc w:val="left"/>
                  </w:pPr>
                  <w:r>
                    <w:rPr>
                      <w:sz w:val="24"/>
                    </w:rPr>
                    <w:t>①卷宽：79.0±0.5mm；</w:t>
                  </w:r>
                </w:p>
                <w:p>
                  <w:pPr>
                    <w:pStyle w:val="null3"/>
                    <w:ind w:firstLine="4"/>
                    <w:jc w:val="left"/>
                  </w:pPr>
                  <w:r>
                    <w:rPr>
                      <w:sz w:val="24"/>
                    </w:rPr>
                    <w:t>②卷直径：73.0±1.0mm；</w:t>
                  </w:r>
                </w:p>
                <w:p>
                  <w:pPr>
                    <w:pStyle w:val="null3"/>
                    <w:ind w:firstLine="4"/>
                    <w:jc w:val="left"/>
                  </w:pPr>
                  <w:r>
                    <w:rPr>
                      <w:sz w:val="24"/>
                    </w:rPr>
                    <w:t>③内径：12.0+0.5mm。</w:t>
                  </w:r>
                </w:p>
                <w:p>
                  <w:pPr>
                    <w:pStyle w:val="null3"/>
                    <w:ind w:firstLine="4"/>
                    <w:jc w:val="left"/>
                  </w:pPr>
                  <w:r>
                    <w:rPr>
                      <w:sz w:val="24"/>
                    </w:rPr>
                    <w:t>（5）支持条码打印：EAN、Code39、Code128、Interleaved 2 of 5、PDF417、QR；</w:t>
                  </w:r>
                </w:p>
                <w:p>
                  <w:pPr>
                    <w:pStyle w:val="null3"/>
                    <w:ind w:firstLine="4"/>
                    <w:jc w:val="left"/>
                  </w:pPr>
                  <w:r>
                    <w:rPr>
                      <w:sz w:val="24"/>
                    </w:rPr>
                    <w:t>（6）连续打印时间：不少于 25 分钟；</w:t>
                  </w:r>
                </w:p>
                <w:p>
                  <w:pPr>
                    <w:pStyle w:val="null3"/>
                    <w:ind w:firstLine="4"/>
                    <w:jc w:val="left"/>
                  </w:pPr>
                  <w:r>
                    <w:rPr>
                      <w:sz w:val="24"/>
                    </w:rPr>
                    <w:t>（7）打印头寿命：不低于 120Km；</w:t>
                  </w:r>
                </w:p>
                <w:p>
                  <w:pPr>
                    <w:pStyle w:val="null3"/>
                    <w:ind w:firstLine="4"/>
                    <w:jc w:val="left"/>
                  </w:pPr>
                  <w:r>
                    <w:rPr>
                      <w:sz w:val="24"/>
                    </w:rPr>
                    <w:t>（8）裁纸刀寿命：不少于 100 万次；</w:t>
                  </w:r>
                </w:p>
                <w:p>
                  <w:pPr>
                    <w:pStyle w:val="null3"/>
                    <w:ind w:firstLine="4"/>
                    <w:jc w:val="left"/>
                  </w:pPr>
                  <w:r>
                    <w:rPr>
                      <w:sz w:val="24"/>
                    </w:rPr>
                    <w:t>（9）切纸方式：支持全切或半切；</w:t>
                  </w:r>
                </w:p>
                <w:p>
                  <w:pPr>
                    <w:pStyle w:val="null3"/>
                    <w:ind w:firstLine="4"/>
                    <w:jc w:val="left"/>
                  </w:pPr>
                  <w:r>
                    <w:rPr>
                      <w:sz w:val="24"/>
                    </w:rPr>
                    <w:t>（10）可打印对象：中文字符（支持 GB 18030）、图像、LOGO，数字3和 8、数字1和4在打印缺列的情况下能够明显区分；</w:t>
                  </w:r>
                </w:p>
                <w:p>
                  <w:pPr>
                    <w:pStyle w:val="null3"/>
                    <w:ind w:firstLine="4"/>
                    <w:jc w:val="left"/>
                  </w:pPr>
                  <w:r>
                    <w:rPr>
                      <w:sz w:val="24"/>
                    </w:rPr>
                    <w:t>（11）纸将尽检测：在纸卷长度剩余 1500±300mm 时能给出硬件报警。</w:t>
                  </w:r>
                </w:p>
                <w:p>
                  <w:pPr>
                    <w:pStyle w:val="null3"/>
                    <w:ind w:firstLine="4"/>
                    <w:jc w:val="left"/>
                  </w:pPr>
                  <w:r>
                    <w:rPr>
                      <w:sz w:val="24"/>
                    </w:rPr>
                    <w:t>（12）禁止使用读打一体机。</w:t>
                  </w:r>
                </w:p>
                <w:p>
                  <w:pPr>
                    <w:pStyle w:val="null3"/>
                    <w:ind w:firstLine="4"/>
                    <w:jc w:val="left"/>
                  </w:pPr>
                  <w:r>
                    <w:rPr>
                      <w:sz w:val="24"/>
                    </w:rPr>
                    <w:t>（13）其它要求：</w:t>
                  </w:r>
                </w:p>
                <w:p>
                  <w:pPr>
                    <w:pStyle w:val="null3"/>
                    <w:ind w:firstLine="4"/>
                    <w:jc w:val="left"/>
                  </w:pPr>
                  <w:r>
                    <w:rPr>
                      <w:sz w:val="24"/>
                    </w:rPr>
                    <w:t>①支持状态检测；</w:t>
                  </w:r>
                </w:p>
                <w:p>
                  <w:pPr>
                    <w:pStyle w:val="null3"/>
                    <w:ind w:firstLine="4"/>
                    <w:jc w:val="left"/>
                  </w:pPr>
                  <w:r>
                    <w:rPr>
                      <w:sz w:val="24"/>
                    </w:rPr>
                    <w:t>②支持黑标切纸和非黑标切纸模式；</w:t>
                  </w:r>
                </w:p>
                <w:p>
                  <w:pPr>
                    <w:pStyle w:val="null3"/>
                    <w:ind w:firstLine="4"/>
                    <w:jc w:val="left"/>
                  </w:pPr>
                  <w:r>
                    <w:rPr>
                      <w:sz w:val="24"/>
                    </w:rPr>
                    <w:t>③具有故障指示灯、出现故障时有报警声；</w:t>
                  </w:r>
                </w:p>
                <w:p>
                  <w:pPr>
                    <w:pStyle w:val="null3"/>
                    <w:ind w:firstLine="4"/>
                    <w:jc w:val="left"/>
                  </w:pPr>
                  <w:r>
                    <w:rPr>
                      <w:sz w:val="24"/>
                    </w:rPr>
                    <w:t>④纸仓盖关闭状态下，上电及初始化时打印纸自动定位至工作位置；</w:t>
                  </w:r>
                </w:p>
                <w:p>
                  <w:pPr>
                    <w:pStyle w:val="null3"/>
                    <w:ind w:firstLine="4"/>
                    <w:jc w:val="left"/>
                  </w:pPr>
                  <w:r>
                    <w:rPr>
                      <w:sz w:val="24"/>
                    </w:rPr>
                    <w:t>⑤纸仓符合现有总局体彩中心统一印制的标准纸卷尺寸，出票口设计合理、便于出票；</w:t>
                  </w:r>
                  <w:r>
                    <w:rPr>
                      <w:sz w:val="24"/>
                      <w:b/>
                    </w:rPr>
                    <w:t>（以投标样机演示情况为准，须能体现“能按照指定的样票格式打印出彩票，并正确切纸”）</w:t>
                  </w:r>
                </w:p>
                <w:p>
                  <w:pPr>
                    <w:pStyle w:val="null3"/>
                    <w:ind w:firstLine="4"/>
                    <w:jc w:val="left"/>
                  </w:pPr>
                  <w:r>
                    <w:rPr>
                      <w:sz w:val="24"/>
                    </w:rPr>
                    <w:t>⑥出票口位置应便于销售员取票，同时在连续出票时应不影响销售员正常销售彩票。</w:t>
                  </w:r>
                  <w:r>
                    <w:rPr>
                      <w:sz w:val="24"/>
                      <w:b/>
                    </w:rPr>
                    <w:t>（以投标样机演示情况为准，须能体现“打印彩票出票时面对销售员正向显示，且连续出票不导致卡纸”）</w:t>
                  </w:r>
                </w:p>
              </w:tc>
            </w:tr>
            <w:tr>
              <w:tc>
                <w:tcPr>
                  <w:tcW w:type="dxa" w:w="45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3</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条码阅读器</w:t>
                  </w: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条码阅读设备</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t xml:space="preserve"> </w:t>
                  </w:r>
                </w:p>
                <w:p>
                  <w:pPr>
                    <w:pStyle w:val="null3"/>
                    <w:ind w:firstLine="4"/>
                    <w:jc w:val="left"/>
                  </w:pPr>
                  <w:r>
                    <w:rPr/>
                    <w:t xml:space="preserve"> </w:t>
                  </w:r>
                </w:p>
                <w:p>
                  <w:pPr>
                    <w:pStyle w:val="null3"/>
                    <w:ind w:firstLine="4"/>
                    <w:jc w:val="left"/>
                  </w:pPr>
                  <w:r>
                    <w:rPr>
                      <w:sz w:val="24"/>
                    </w:rPr>
                    <w:t>（1）识读码制：支持 Interleaved 2 of 5、EAN、Code39、Code128、PDF417、DataMatrix、QR码等；</w:t>
                  </w:r>
                </w:p>
                <w:p>
                  <w:pPr>
                    <w:pStyle w:val="null3"/>
                    <w:ind w:firstLine="4"/>
                    <w:jc w:val="left"/>
                  </w:pPr>
                  <w:r>
                    <w:rPr>
                      <w:sz w:val="24"/>
                    </w:rPr>
                    <w:t>（2）识读精度：PDF417、DataMatrix码、QR码不低于7.5mil；</w:t>
                  </w:r>
                </w:p>
                <w:p>
                  <w:pPr>
                    <w:pStyle w:val="null3"/>
                    <w:ind w:firstLine="4"/>
                    <w:jc w:val="left"/>
                  </w:pPr>
                  <w:r>
                    <w:rPr>
                      <w:sz w:val="24"/>
                    </w:rPr>
                    <w:t>（3）双码扫描：扫描头应能正确读取距离在5mm 左右的2个15mil的DataMatrix码；</w:t>
                  </w:r>
                </w:p>
                <w:p>
                  <w:pPr>
                    <w:pStyle w:val="null3"/>
                    <w:ind w:firstLine="4"/>
                    <w:jc w:val="left"/>
                  </w:pPr>
                  <w:r>
                    <w:rPr>
                      <w:sz w:val="24"/>
                    </w:rPr>
                    <w:t>（4）扫描方式：扫描头应能支持自动连续扫描和手工断续扫描两种工作方式；</w:t>
                  </w:r>
                </w:p>
                <w:p>
                  <w:pPr>
                    <w:pStyle w:val="null3"/>
                    <w:ind w:firstLine="4"/>
                    <w:jc w:val="left"/>
                  </w:pPr>
                  <w:r>
                    <w:rPr>
                      <w:sz w:val="24"/>
                    </w:rPr>
                    <w:t>（5）景深：7.11cm～19cm（15mil的DataMatrix 码），4.5cm～17cm（15mil的QR 码）。</w:t>
                  </w:r>
                </w:p>
                <w:p>
                  <w:pPr>
                    <w:pStyle w:val="null3"/>
                    <w:ind w:firstLine="4"/>
                    <w:jc w:val="left"/>
                  </w:pPr>
                  <w:r>
                    <w:rPr>
                      <w:sz w:val="24"/>
                    </w:rPr>
                    <w:t>（6）能正确识别彩票上的二维码内容。（</w:t>
                  </w:r>
                  <w:r>
                    <w:rPr>
                      <w:sz w:val="24"/>
                      <w:b/>
                    </w:rPr>
                    <w:t>以投标样机演示情况为准。</w:t>
                  </w:r>
                  <w:r>
                    <w:rPr>
                      <w:sz w:val="24"/>
                    </w:rPr>
                    <w:t>）</w:t>
                  </w:r>
                </w:p>
              </w:tc>
            </w:tr>
            <w:tr>
              <w:tc>
                <w:tcPr>
                  <w:tcW w:type="dxa" w:w="45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4</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显示屏</w:t>
                  </w: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显示设备（主屏）1个、显示设备（副屏）1个</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▲（1）显示屏主屏和副屏的尺寸：不小于13.3英寸。</w:t>
                  </w:r>
                  <w:r>
                    <w:rPr>
                      <w:sz w:val="24"/>
                      <w:b/>
                    </w:rPr>
                    <w:t>投标时提供技术资料证明材料（如制造厂商产品官网图片、产品说明手册或制造厂商公开发布的印刷的资料或官网技术资料截图或技术白皮书、具有CMA或CNAS认证的第三方检测机构出具的检测报告）。</w:t>
                  </w:r>
                </w:p>
                <w:p>
                  <w:pPr>
                    <w:pStyle w:val="null3"/>
                    <w:ind w:firstLine="4"/>
                    <w:jc w:val="left"/>
                  </w:pPr>
                  <w:r>
                    <w:rPr>
                      <w:sz w:val="24"/>
                    </w:rPr>
                    <w:t>▲（2）分辨率支持 1280×800 或 1280×720 或 1366×768。</w:t>
                  </w:r>
                  <w:r>
                    <w:rPr>
                      <w:sz w:val="24"/>
                      <w:b/>
                    </w:rPr>
                    <w:t>投标时提供技术资料证明材料（如制造厂商产品官网图片、产品说明手册或制造厂商公开发布的印刷的资料或官网技术资料截图或技术白皮书、具有CMA或CNAS认证的第三方检测机构出具的检测报告）。</w:t>
                  </w:r>
                </w:p>
                <w:p>
                  <w:pPr>
                    <w:pStyle w:val="null3"/>
                    <w:ind w:firstLine="4"/>
                    <w:jc w:val="left"/>
                  </w:pPr>
                  <w:r>
                    <w:rPr>
                      <w:sz w:val="24"/>
                    </w:rPr>
                    <w:t>（3）能显示指定图片和全屏运动图像。</w:t>
                  </w:r>
                  <w:r>
                    <w:rPr>
                      <w:sz w:val="24"/>
                      <w:b/>
                    </w:rPr>
                    <w:t>（以投标样机演示情况为准。）</w:t>
                  </w:r>
                </w:p>
              </w:tc>
            </w:tr>
            <w:tr>
              <w:tc>
                <w:tcPr>
                  <w:tcW w:type="dxa" w:w="45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触摸屏</w:t>
                  </w: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触摸屏（主屏）1个、触摸屏（副屏）1个</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（1）接触类型：多点式电容屏；工作稳定，无漂移，无错位。</w:t>
                  </w:r>
                </w:p>
                <w:p>
                  <w:pPr>
                    <w:pStyle w:val="null3"/>
                    <w:ind w:firstLine="4"/>
                    <w:jc w:val="left"/>
                  </w:pPr>
                  <w:r>
                    <w:rPr>
                      <w:sz w:val="24"/>
                    </w:rPr>
                    <w:t>（2）设备主副屏均能通过触摸屏功能对系统进行操作。</w:t>
                  </w:r>
                  <w:r>
                    <w:rPr>
                      <w:sz w:val="24"/>
                      <w:b/>
                    </w:rPr>
                    <w:t>（以投标样机</w:t>
                  </w:r>
                  <w:r>
                    <w:rPr>
                      <w:sz w:val="24"/>
                      <w:b/>
                    </w:rPr>
                    <w:t>演示情况为准。）</w:t>
                  </w:r>
                </w:p>
              </w:tc>
            </w:tr>
            <w:tr>
              <w:tc>
                <w:tcPr>
                  <w:tcW w:type="dxa" w:w="45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6</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通信</w:t>
                  </w:r>
                </w:p>
              </w:tc>
              <w:tc>
                <w:tcPr>
                  <w:tcW w:type="dxa" w:w="11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通信设备</w:t>
                  </w:r>
                </w:p>
              </w:tc>
              <w:tc>
                <w:tcPr>
                  <w:tcW w:type="dxa" w:w="33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支持4G全网通</w:t>
                  </w:r>
                </w:p>
              </w:tc>
            </w:tr>
            <w:tr>
              <w:tc>
                <w:tcPr>
                  <w:tcW w:type="dxa" w:w="45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7</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整机要求</w:t>
                  </w:r>
                </w:p>
              </w:tc>
              <w:tc>
                <w:tcPr>
                  <w:tcW w:type="dxa" w:w="4512"/>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left"/>
                  </w:pPr>
                  <w:r>
                    <w:rPr>
                      <w:sz w:val="24"/>
                    </w:rPr>
                    <w:t>▲（1）整机平均无故障时长（MTBF）不少于50000小时；</w:t>
                  </w:r>
                  <w:r>
                    <w:rPr>
                      <w:sz w:val="24"/>
                      <w:b/>
                    </w:rPr>
                    <w:t>（投标时提供具有CMA或CNAS认证的第三方检测机构出具的检测报告）</w:t>
                  </w:r>
                </w:p>
                <w:p>
                  <w:pPr>
                    <w:pStyle w:val="null3"/>
                    <w:ind w:firstLine="4"/>
                    <w:jc w:val="left"/>
                  </w:pPr>
                  <w:r>
                    <w:rPr>
                      <w:sz w:val="24"/>
                    </w:rPr>
                    <w:t>▲（2）平均修复时间（MTTR）不高于5分钟。</w:t>
                  </w:r>
                  <w:r>
                    <w:rPr>
                      <w:sz w:val="24"/>
                      <w:b/>
                    </w:rPr>
                    <w:t>（投标时提供具有CMA或CNAS认证的第三方检测机构出具的检测报告）</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00"/>
            </w:pPr>
          </w:p>
        </w:tc>
      </w:tr>
      <w:tr>
        <w:tc>
          <w:tcPr>
            <w:tcW w:type="dxa" w:w="2076"/>
          </w:tcPr>
          <w:p/>
        </w:tc>
        <w:tc>
          <w:tcPr>
            <w:tcW w:type="dxa" w:w="415"/>
          </w:tcPr>
          <w:p>
            <w:pPr>
              <w:pStyle w:val="null3"/>
            </w:pPr>
            <w:r>
              <w:rPr/>
              <w:t>2</w:t>
            </w:r>
          </w:p>
        </w:tc>
        <w:tc>
          <w:tcPr>
            <w:tcW w:type="dxa" w:w="5814"/>
          </w:tcPr>
          <w:p>
            <w:pPr>
              <w:pStyle w:val="null3"/>
              <w:ind w:firstLine="422"/>
              <w:jc w:val="both"/>
            </w:pPr>
            <w:r>
              <w:rPr>
                <w:sz w:val="24"/>
                <w:b/>
                <w:color w:val="000000"/>
              </w:rPr>
              <w:t>二、供货数量要求</w:t>
            </w:r>
          </w:p>
          <w:p>
            <w:pPr>
              <w:pStyle w:val="null3"/>
              <w:ind w:firstLine="420"/>
              <w:jc w:val="both"/>
            </w:pPr>
            <w:r>
              <w:rPr>
                <w:sz w:val="24"/>
                <w:color w:val="000000"/>
              </w:rPr>
              <w:t>★1、本次采购双屏体育彩票安卓终端机设备总数为2200台，投标人投标的2200台设备必须为同型号配置相同的设备。（投标时提供承诺函，格式见</w:t>
            </w:r>
            <w:r>
              <w:rPr>
                <w:sz w:val="24"/>
                <w:color w:val="000000"/>
              </w:rPr>
              <w:t>招标文件“格式十：承诺函”</w:t>
            </w:r>
            <w:r>
              <w:rPr>
                <w:sz w:val="24"/>
                <w:color w:val="000000"/>
              </w:rPr>
              <w:t>）</w:t>
            </w:r>
          </w:p>
          <w:p>
            <w:pPr>
              <w:pStyle w:val="null3"/>
              <w:ind w:firstLine="420"/>
              <w:jc w:val="both"/>
            </w:pPr>
            <w:r>
              <w:rPr>
                <w:sz w:val="24"/>
                <w:color w:val="000000"/>
              </w:rPr>
              <w:t>★2、采购人可再根据实际需要向中标人按本次双屏体育彩票安卓终端机中标单价继续采购，中标人不得拒绝，承诺所提供的设备型号规格及配件，与本次投标设备保持一致，且与本次采购投标设备享受相同服务保障（相关备品备件标准同样与本次采购保持一致），追加的金额不超过原合同采购金额10%。（投标时提供承诺函，格式见</w:t>
            </w:r>
            <w:r>
              <w:rPr>
                <w:sz w:val="24"/>
                <w:color w:val="000000"/>
              </w:rPr>
              <w:t>招标文件“格式</w:t>
            </w:r>
            <w:r>
              <w:rPr>
                <w:sz w:val="24"/>
                <w:color w:val="000000"/>
              </w:rPr>
              <w:t>十</w:t>
            </w:r>
            <w:r>
              <w:rPr>
                <w:sz w:val="24"/>
                <w:color w:val="000000"/>
              </w:rPr>
              <w:t>：承诺函”</w:t>
            </w:r>
            <w:r>
              <w:rPr>
                <w:sz w:val="24"/>
                <w:color w:val="000000"/>
              </w:rPr>
              <w:t>）</w:t>
            </w:r>
          </w:p>
        </w:tc>
      </w:tr>
      <w:tr>
        <w:tc>
          <w:tcPr>
            <w:tcW w:type="dxa" w:w="2076"/>
          </w:tcPr>
          <w:p/>
        </w:tc>
        <w:tc>
          <w:tcPr>
            <w:tcW w:type="dxa" w:w="415"/>
          </w:tcPr>
          <w:p>
            <w:pPr>
              <w:pStyle w:val="null3"/>
            </w:pPr>
            <w:r>
              <w:rPr/>
              <w:t>3</w:t>
            </w:r>
          </w:p>
        </w:tc>
        <w:tc>
          <w:tcPr>
            <w:tcW w:type="dxa" w:w="5814"/>
          </w:tcPr>
          <w:p>
            <w:pPr>
              <w:pStyle w:val="null3"/>
              <w:ind w:firstLine="422"/>
              <w:jc w:val="both"/>
            </w:pPr>
            <w:r>
              <w:rPr>
                <w:sz w:val="24"/>
                <w:b/>
                <w:color w:val="000000"/>
              </w:rPr>
              <w:t>三、投标样机及演示要求</w:t>
            </w:r>
          </w:p>
          <w:p>
            <w:pPr>
              <w:pStyle w:val="null3"/>
              <w:ind w:firstLine="420"/>
              <w:jc w:val="both"/>
            </w:pPr>
            <w:r>
              <w:rPr>
                <w:sz w:val="24"/>
                <w:color w:val="000000"/>
              </w:rPr>
              <w:t>（一）投标人应在本项目开标时间前，将所投型号的体育彩票安卓终端机样机（1台）提交至广州程启招标代理有限公司（广州市越秀区沿江中路298号江湾新城A座8楼，工作人员指定地点），以便在开标后进行现场演示（现场演示的开始时间由评标委员会根据评审情况而定，演示顺序按投标序号），每个投标人的现场演示时间不超过15分钟。</w:t>
            </w:r>
          </w:p>
          <w:p>
            <w:pPr>
              <w:pStyle w:val="null3"/>
              <w:ind w:firstLine="420"/>
              <w:jc w:val="both"/>
            </w:pPr>
            <w:r>
              <w:rPr>
                <w:sz w:val="24"/>
                <w:color w:val="000000"/>
              </w:rPr>
              <w:t>（二）投标样机样机的技术要求详见“</w:t>
            </w:r>
            <w:r>
              <w:rPr>
                <w:sz w:val="24"/>
                <w:b/>
              </w:rPr>
              <w:t>（二）体育彩票安卓终端机各部件配置要求</w:t>
            </w:r>
            <w:r>
              <w:rPr>
                <w:sz w:val="24"/>
                <w:color w:val="000000"/>
              </w:rPr>
              <w:t>”，样机上标注：项目名称、项目编号、投标人名称。投标人的投标样机不能相互共用。</w:t>
            </w:r>
          </w:p>
          <w:p>
            <w:pPr>
              <w:pStyle w:val="null3"/>
              <w:ind w:firstLine="420"/>
              <w:jc w:val="both"/>
            </w:pPr>
            <w:r>
              <w:rPr>
                <w:sz w:val="24"/>
              </w:rPr>
              <w:t>（三）投标人须在开标时间前完成样机的前期工作（包括组装、调试等工作），投标人应根据自身情况提前到达开标会现场完成样机的前期工作，逾期将不再接收投标样机。开标时间到达时，投标人不得再对样机进行任何前期工作。</w:t>
            </w:r>
          </w:p>
          <w:p>
            <w:pPr>
              <w:pStyle w:val="null3"/>
              <w:ind w:firstLine="420"/>
              <w:jc w:val="both"/>
            </w:pPr>
            <w:r>
              <w:rPr>
                <w:sz w:val="24"/>
                <w:color w:val="000000"/>
              </w:rPr>
              <w:t>（四）投标样机演示的内容如下：</w:t>
            </w:r>
          </w:p>
          <w:p>
            <w:pPr>
              <w:pStyle w:val="null3"/>
              <w:ind w:firstLine="420"/>
              <w:jc w:val="both"/>
            </w:pPr>
            <w:r>
              <w:rPr>
                <w:sz w:val="24"/>
                <w:color w:val="000000"/>
              </w:rPr>
              <w:t>1.</w:t>
            </w:r>
            <w:r>
              <w:rPr>
                <w:sz w:val="24"/>
                <w:color w:val="000000"/>
              </w:rPr>
              <w:t>彩票打印：能按照指定的样票格式打印出彩票，并正确切纸。（注：样机演示时采用的彩票纸由采购人提供进行测试打印效果，无需投标人自备）</w:t>
            </w:r>
          </w:p>
          <w:p>
            <w:pPr>
              <w:pStyle w:val="null3"/>
              <w:ind w:firstLine="420"/>
              <w:jc w:val="both"/>
            </w:pPr>
            <w:r>
              <w:rPr>
                <w:sz w:val="24"/>
              </w:rPr>
              <w:t>2.打印彩票出票时面对销售员正向显示，且连续出票不导致卡纸。</w:t>
            </w:r>
          </w:p>
          <w:p>
            <w:pPr>
              <w:pStyle w:val="null3"/>
              <w:ind w:firstLine="420"/>
              <w:jc w:val="both"/>
            </w:pPr>
            <w:r>
              <w:rPr>
                <w:sz w:val="24"/>
                <w:color w:val="000000"/>
              </w:rPr>
              <w:t>3.</w:t>
            </w:r>
            <w:r>
              <w:rPr>
                <w:sz w:val="24"/>
                <w:color w:val="000000"/>
              </w:rPr>
              <w:t>条码阅读器：能正确识别彩票上的二维码内容。</w:t>
            </w:r>
          </w:p>
          <w:p>
            <w:pPr>
              <w:pStyle w:val="null3"/>
              <w:ind w:firstLine="420"/>
              <w:jc w:val="both"/>
            </w:pPr>
            <w:r>
              <w:rPr>
                <w:sz w:val="24"/>
                <w:color w:val="000000"/>
              </w:rPr>
              <w:t>4.</w:t>
            </w:r>
            <w:r>
              <w:rPr>
                <w:sz w:val="24"/>
                <w:color w:val="000000"/>
              </w:rPr>
              <w:t>图像及视频显示：显示指定图片和全屏运动图像。</w:t>
            </w:r>
          </w:p>
          <w:p>
            <w:pPr>
              <w:pStyle w:val="null3"/>
              <w:ind w:firstLine="420"/>
              <w:jc w:val="both"/>
            </w:pPr>
            <w:r>
              <w:rPr>
                <w:sz w:val="24"/>
                <w:color w:val="000000"/>
              </w:rPr>
              <w:t>5.</w:t>
            </w:r>
            <w:r>
              <w:rPr>
                <w:sz w:val="24"/>
                <w:color w:val="000000"/>
              </w:rPr>
              <w:t>触摸屏功能，设备主副屏均能通过触摸屏功能对系统进行操作。</w:t>
            </w:r>
          </w:p>
          <w:p>
            <w:pPr>
              <w:pStyle w:val="null3"/>
              <w:ind w:firstLine="420"/>
              <w:jc w:val="both"/>
            </w:pPr>
            <w:r>
              <w:rPr>
                <w:sz w:val="24"/>
              </w:rPr>
              <w:t>（五）采购活动结束后，采购人将对中标人的样机进行封存，作为货物验收的依据。对于未中标人提供的样机，在中标通知书发出后通知退还（具体退还时间由采购代理机构通知为准），由未中标人自行到采购代理机构处凭授权书及领取人有效身份证明领取，如接退还通知后投标人7个工作日内不领取视为放弃样机，逾期不领取的，由采购代理机构自行处理。</w:t>
            </w:r>
          </w:p>
        </w:tc>
      </w:tr>
      <w:tr>
        <w:tc>
          <w:tcPr>
            <w:tcW w:type="dxa" w:w="2076"/>
          </w:tcPr>
          <w:p/>
        </w:tc>
        <w:tc>
          <w:tcPr>
            <w:tcW w:type="dxa" w:w="415"/>
          </w:tcPr>
          <w:p>
            <w:pPr>
              <w:pStyle w:val="null3"/>
            </w:pPr>
            <w:r>
              <w:rPr/>
              <w:t>4</w:t>
            </w:r>
          </w:p>
        </w:tc>
        <w:tc>
          <w:tcPr>
            <w:tcW w:type="dxa" w:w="5814"/>
          </w:tcPr>
          <w:p>
            <w:pPr>
              <w:pStyle w:val="null3"/>
              <w:ind w:firstLine="422"/>
              <w:jc w:val="both"/>
            </w:pPr>
            <w:r>
              <w:rPr>
                <w:sz w:val="24"/>
                <w:b/>
                <w:color w:val="000000"/>
              </w:rPr>
              <w:t>四、质保期</w:t>
            </w:r>
          </w:p>
          <w:p>
            <w:pPr>
              <w:pStyle w:val="null3"/>
              <w:ind w:firstLine="420"/>
              <w:jc w:val="both"/>
            </w:pPr>
            <w:r>
              <w:rPr>
                <w:sz w:val="24"/>
                <w:color w:val="000000"/>
              </w:rPr>
              <w:t>质保期从验收合格之日起计算</w:t>
            </w:r>
            <w:r>
              <w:rPr>
                <w:sz w:val="24"/>
                <w:color w:val="000000"/>
              </w:rPr>
              <w:t>，整机质保不少于三年，</w:t>
            </w:r>
            <w:r>
              <w:rPr>
                <w:sz w:val="24"/>
              </w:rPr>
              <w:t>包括中标人提供的彩票销售终端机（含备机）及配套设备</w:t>
            </w:r>
            <w:r>
              <w:rPr>
                <w:sz w:val="24"/>
                <w:color w:val="000000"/>
              </w:rPr>
              <w:t>。质保期内设备出现任何质量问题，由中标人负责更换或维修，费用包含在合同金额中。设备的保修范围包括所有设备硬件故障和损耗。</w:t>
            </w:r>
          </w:p>
        </w:tc>
      </w:tr>
      <w:tr>
        <w:tc>
          <w:tcPr>
            <w:tcW w:type="dxa" w:w="2076"/>
          </w:tcPr>
          <w:p/>
        </w:tc>
        <w:tc>
          <w:tcPr>
            <w:tcW w:type="dxa" w:w="415"/>
          </w:tcPr>
          <w:p>
            <w:pPr>
              <w:pStyle w:val="null3"/>
            </w:pPr>
            <w:r>
              <w:rPr/>
              <w:t>5</w:t>
            </w:r>
          </w:p>
        </w:tc>
        <w:tc>
          <w:tcPr>
            <w:tcW w:type="dxa" w:w="5814"/>
          </w:tcPr>
          <w:p>
            <w:pPr>
              <w:pStyle w:val="null3"/>
              <w:ind w:firstLine="422"/>
            </w:pPr>
            <w:r>
              <w:rPr>
                <w:sz w:val="24"/>
                <w:b/>
                <w:color w:val="000000"/>
              </w:rPr>
              <w:t>五、售后技术服务要求</w:t>
            </w:r>
          </w:p>
          <w:p>
            <w:pPr>
              <w:pStyle w:val="null3"/>
              <w:ind w:firstLine="420"/>
            </w:pPr>
            <w:r>
              <w:rPr>
                <w:sz w:val="24"/>
                <w:color w:val="000000"/>
              </w:rPr>
              <w:t>1.</w:t>
            </w:r>
            <w:r>
              <w:rPr>
                <w:sz w:val="24"/>
                <w:color w:val="000000"/>
              </w:rPr>
              <w:t>按国家有关规定实行产品“三包”，费用包含在合同金额中：送货上门、安装调试、技术培训。</w:t>
            </w:r>
          </w:p>
          <w:p>
            <w:pPr>
              <w:pStyle w:val="null3"/>
              <w:ind w:firstLine="420"/>
            </w:pPr>
            <w:r>
              <w:rPr>
                <w:sz w:val="24"/>
                <w:color w:val="000000"/>
              </w:rPr>
              <w:t>2.</w:t>
            </w:r>
            <w:r>
              <w:rPr>
                <w:sz w:val="24"/>
                <w:color w:val="000000"/>
              </w:rPr>
              <w:t>产品质保期内，由中标人提供维修、更换零部件（非人为因素造成的故障件），费用包含在合同金额中；中标人需负责广东全省范围内中标设备的整机维修、配件维修、各零部件更换等售后服务，并按采购人要求提交每月维修服务清单备案。</w:t>
            </w:r>
          </w:p>
          <w:p>
            <w:pPr>
              <w:pStyle w:val="null3"/>
              <w:ind w:firstLine="420"/>
            </w:pPr>
            <w:r>
              <w:rPr>
                <w:sz w:val="24"/>
                <w:color w:val="000000"/>
              </w:rPr>
              <w:t>3.</w:t>
            </w:r>
            <w:r>
              <w:rPr>
                <w:sz w:val="24"/>
                <w:color w:val="000000"/>
              </w:rPr>
              <w:t>质保期内，中标人对其提供的设备进行巡检，不收取任何费用；提供所有相关端口的标准连接线，费用包含在合同金额中。</w:t>
            </w:r>
          </w:p>
          <w:p>
            <w:pPr>
              <w:pStyle w:val="null3"/>
              <w:ind w:firstLine="420"/>
            </w:pPr>
            <w:r>
              <w:rPr>
                <w:sz w:val="24"/>
                <w:color w:val="000000"/>
              </w:rPr>
              <w:t>4.</w:t>
            </w:r>
            <w:r>
              <w:rPr>
                <w:sz w:val="24"/>
                <w:color w:val="000000"/>
              </w:rPr>
              <w:t>中标供应商承诺中标后在广东省内设立一个设备维修服务中心</w:t>
            </w:r>
            <w:r>
              <w:rPr>
                <w:sz w:val="24"/>
                <w:color w:val="000000"/>
              </w:rPr>
              <w:t>，且维修服务中心配备充足的设备维修配件，服务时间内不少于1名技术人员在岗，为本项目设备提供维修服务，设备采用寄修方式维修，寄修来回运费包含在本次采购预算中（提供承诺函，格式见招标文件“格式十：承诺函”）。</w:t>
            </w:r>
          </w:p>
          <w:p>
            <w:pPr>
              <w:pStyle w:val="null3"/>
              <w:ind w:firstLine="420"/>
            </w:pPr>
            <w:r>
              <w:rPr>
                <w:sz w:val="24"/>
                <w:color w:val="000000"/>
              </w:rPr>
              <w:t>5.</w:t>
            </w:r>
            <w:r>
              <w:rPr>
                <w:sz w:val="24"/>
                <w:color w:val="000000"/>
              </w:rPr>
              <w:t>质保期内，投标人应就以下服务内容、维修备件、备机做出承诺：在质保期内，如个别部件故障率明显较高（大于3%），且属非人为造成，则可认定该部件存在质量问题中标人应承担相关全部责任，首先中标人提供大于5%该部件用于周转，其次中标人提供所有设备的部件及备件，并由中标人负责上门到设备现场更换故障部件，由此产生的费用包含在合同金额中；如果设备在运行中出现大面积同一部件故障情况下，中标人应在接到故障报告后，3个自然日内到达故障现场实施故障排除处理工作，并在7个自然日内解决故障，保证网点设备正常运行。如因产品质量原因，由此产生的费用包含在合同金额中。</w:t>
            </w:r>
          </w:p>
          <w:p>
            <w:pPr>
              <w:pStyle w:val="null3"/>
              <w:ind w:firstLine="420"/>
            </w:pPr>
            <w:r>
              <w:rPr>
                <w:sz w:val="24"/>
                <w:color w:val="000000"/>
              </w:rPr>
              <w:t>6.</w:t>
            </w:r>
            <w:r>
              <w:rPr>
                <w:sz w:val="24"/>
                <w:color w:val="000000"/>
              </w:rPr>
              <w:t>质保期内中标人须提供技术人员对本项目终端机软、硬件的安装及维护工作提供服务，费用包含在合同金额中。</w:t>
            </w:r>
          </w:p>
          <w:p>
            <w:pPr>
              <w:pStyle w:val="null3"/>
              <w:ind w:firstLine="420"/>
            </w:pPr>
            <w:r>
              <w:rPr>
                <w:sz w:val="24"/>
                <w:color w:val="000000"/>
              </w:rPr>
              <w:t>7.</w:t>
            </w:r>
            <w:r>
              <w:rPr>
                <w:sz w:val="24"/>
                <w:color w:val="000000"/>
              </w:rPr>
              <w:t>投标人须针对招标文件的要求在投标文件中提供具体的售后服务承诺书和服务方案，（主要包括故障处理流程、设备巡检安排、技术支持服务等内容，格式自拟）。</w:t>
            </w:r>
          </w:p>
          <w:p>
            <w:pPr>
              <w:pStyle w:val="null3"/>
              <w:ind w:firstLine="420"/>
              <w:jc w:val="both"/>
            </w:pPr>
            <w:r>
              <w:rPr>
                <w:sz w:val="24"/>
              </w:rPr>
              <w:t>8.投标人应充分考虑本项目的供货时效，制定出符合项目需求、完善、合理的设备供货方案（包括供货时间、供货方式等内容，格式自拟）</w:t>
            </w:r>
          </w:p>
          <w:p>
            <w:pPr>
              <w:pStyle w:val="null3"/>
            </w:pPr>
          </w:p>
        </w:tc>
      </w:tr>
      <w:tr>
        <w:tc>
          <w:tcPr>
            <w:tcW w:type="dxa" w:w="2076"/>
          </w:tcPr>
          <w:p/>
        </w:tc>
        <w:tc>
          <w:tcPr>
            <w:tcW w:type="dxa" w:w="415"/>
          </w:tcPr>
          <w:p>
            <w:pPr>
              <w:pStyle w:val="null3"/>
            </w:pPr>
            <w:r>
              <w:rPr/>
              <w:t>6</w:t>
            </w:r>
          </w:p>
        </w:tc>
        <w:tc>
          <w:tcPr>
            <w:tcW w:type="dxa" w:w="5814"/>
          </w:tcPr>
          <w:p>
            <w:pPr>
              <w:pStyle w:val="null3"/>
              <w:ind w:firstLine="422"/>
            </w:pPr>
            <w:r>
              <w:rPr>
                <w:sz w:val="24"/>
                <w:b/>
                <w:color w:val="000000"/>
              </w:rPr>
              <w:t>六、备品备件及耗材等要求</w:t>
            </w:r>
          </w:p>
          <w:p>
            <w:pPr>
              <w:pStyle w:val="null3"/>
              <w:ind w:firstLine="420"/>
            </w:pPr>
            <w:r>
              <w:rPr>
                <w:sz w:val="24"/>
                <w:color w:val="000000"/>
              </w:rPr>
              <w:t>1.</w:t>
            </w:r>
            <w:r>
              <w:rPr>
                <w:sz w:val="24"/>
                <w:color w:val="000000"/>
              </w:rPr>
              <w:t>为确保设备能高效运转，保证体彩业务的正常运营，投标人需承诺，若中标，于本次采购设备交付时，同时提供采购总数5%数量备机交付到指定的业务经营点。备机于本项目质保期满后30天内，由中标人自行收回，如未在规定时间取回的，采购人有权自行处理。（提供承诺函，格式见</w:t>
            </w:r>
            <w:r>
              <w:rPr>
                <w:sz w:val="24"/>
                <w:color w:val="000000"/>
              </w:rPr>
              <w:t>招标文件“格式十：承诺函”</w:t>
            </w:r>
            <w:r>
              <w:rPr>
                <w:sz w:val="24"/>
                <w:color w:val="000000"/>
              </w:rPr>
              <w:t>）</w:t>
            </w:r>
          </w:p>
          <w:p>
            <w:pPr>
              <w:pStyle w:val="null3"/>
              <w:ind w:firstLine="420"/>
            </w:pPr>
            <w:r>
              <w:rPr>
                <w:sz w:val="24"/>
                <w:color w:val="000000"/>
              </w:rPr>
              <w:t>2.</w:t>
            </w:r>
            <w:r>
              <w:rPr>
                <w:sz w:val="24"/>
                <w:color w:val="000000"/>
              </w:rPr>
              <w:t>投标人向采购人提供本项目所需的相关设备及技术支持、服务，以及投标人认为本项目必需而本标书未详细列出的其它硬件、配件、线缆、耗材等投标人根据本文件的相关要求进行设备配置，并在投标文件中进行详细说明。</w:t>
            </w:r>
          </w:p>
          <w:p>
            <w:pPr>
              <w:pStyle w:val="null3"/>
              <w:ind w:firstLine="420"/>
              <w:jc w:val="both"/>
            </w:pPr>
            <w:r>
              <w:rPr>
                <w:sz w:val="24"/>
              </w:rPr>
              <w:t>3.中标人须承诺中标设备质保期满后4年内，按全国最低的价格供应充足的维修配件。</w:t>
            </w:r>
          </w:p>
        </w:tc>
      </w:tr>
      <w:tr>
        <w:tc>
          <w:tcPr>
            <w:tcW w:type="dxa" w:w="2076"/>
          </w:tcPr>
          <w:p/>
        </w:tc>
        <w:tc>
          <w:tcPr>
            <w:tcW w:type="dxa" w:w="415"/>
          </w:tcPr>
          <w:p>
            <w:pPr>
              <w:pStyle w:val="null3"/>
            </w:pPr>
            <w:r>
              <w:rPr/>
              <w:t>7</w:t>
            </w:r>
          </w:p>
        </w:tc>
        <w:tc>
          <w:tcPr>
            <w:tcW w:type="dxa" w:w="5814"/>
          </w:tcPr>
          <w:p>
            <w:pPr>
              <w:pStyle w:val="null3"/>
              <w:ind w:firstLine="422"/>
            </w:pPr>
            <w:r>
              <w:rPr>
                <w:sz w:val="24"/>
                <w:b/>
                <w:color w:val="000000"/>
              </w:rPr>
              <w:t>七、</w:t>
            </w:r>
            <w:r>
              <w:rPr>
                <w:sz w:val="24"/>
                <w:b/>
                <w:color w:val="000000"/>
              </w:rPr>
              <w:t>其他要求</w:t>
            </w:r>
          </w:p>
          <w:p>
            <w:pPr>
              <w:pStyle w:val="null3"/>
              <w:ind w:firstLine="420"/>
            </w:pPr>
            <w:r>
              <w:rPr>
                <w:sz w:val="24"/>
                <w:color w:val="000000"/>
              </w:rPr>
              <w:t>1.</w:t>
            </w:r>
            <w:r>
              <w:rPr>
                <w:sz w:val="24"/>
                <w:color w:val="000000"/>
              </w:rPr>
              <w:t>投标产品应为全新原装产品，中标人所提供的产品、资料等，要满足中华人民共和国的相应标准。设备到货后，中标人和采购人应在现场进行清点；清点过程中如果发现因包装或运输不当引起的设备外观或内部损坏，中标人负责更换；若发现漏发、错发情况，中标人负责更换和补发。</w:t>
            </w:r>
          </w:p>
          <w:p>
            <w:pPr>
              <w:pStyle w:val="null3"/>
              <w:ind w:firstLine="420"/>
            </w:pPr>
            <w:r>
              <w:rPr>
                <w:sz w:val="24"/>
                <w:color w:val="000000"/>
              </w:rPr>
              <w:t>2.</w:t>
            </w:r>
            <w:r>
              <w:rPr>
                <w:sz w:val="24"/>
                <w:color w:val="000000"/>
              </w:rPr>
              <w:t>投标人应承诺保证所投标的产品完全支持全国体育彩票全热线二代及后续销售系统平台，满足广东省体育彩票销售需求，并确保设备正常工作。（提供承诺函，格式见</w:t>
            </w:r>
            <w:r>
              <w:rPr>
                <w:sz w:val="24"/>
                <w:color w:val="000000"/>
              </w:rPr>
              <w:t>招标文件“格式十：承诺函”</w:t>
            </w:r>
            <w:r>
              <w:rPr>
                <w:sz w:val="24"/>
                <w:color w:val="000000"/>
              </w:rPr>
              <w:t>）</w:t>
            </w:r>
          </w:p>
          <w:p>
            <w:pPr>
              <w:pStyle w:val="null3"/>
              <w:ind w:firstLine="420"/>
            </w:pPr>
            <w:r>
              <w:rPr>
                <w:sz w:val="24"/>
                <w:color w:val="000000"/>
              </w:rPr>
              <w:t>3.</w:t>
            </w:r>
            <w:r>
              <w:rPr>
                <w:sz w:val="24"/>
                <w:color w:val="000000"/>
              </w:rPr>
              <w:t>中标人应对投标货物提供详尽技术资料（产品合格证、使用说明书或图纸、安装调试记录及其它资料），投标时，应提供投标产品的中文性能参数指标彩页（含技术参数）、说明书、产品详细配置清单（含技术参数）、以供评标时核对；对同一性能参数配置，彩页或说明书描述的应与报价表及技术规格响应表描述的一致，如不一致，以彩页或说明书描述的为准。</w:t>
            </w:r>
          </w:p>
          <w:p>
            <w:pPr>
              <w:pStyle w:val="null3"/>
              <w:ind w:firstLine="420"/>
            </w:pPr>
            <w:r>
              <w:rPr>
                <w:sz w:val="24"/>
                <w:color w:val="000000"/>
              </w:rPr>
              <w:t>4.</w:t>
            </w:r>
            <w:r>
              <w:rPr>
                <w:sz w:val="24"/>
                <w:color w:val="000000"/>
              </w:rPr>
              <w:t>投标人应针对本项目的要求在投标文件中提供详细的项目实施方案。</w:t>
            </w:r>
          </w:p>
          <w:p>
            <w:pPr>
              <w:pStyle w:val="null3"/>
              <w:ind w:firstLine="420"/>
            </w:pPr>
            <w:r>
              <w:rPr>
                <w:sz w:val="24"/>
                <w:color w:val="000000"/>
              </w:rPr>
              <w:t>5.</w:t>
            </w:r>
            <w:r>
              <w:rPr>
                <w:sz w:val="24"/>
                <w:color w:val="000000"/>
              </w:rPr>
              <w:t>提供设备操作手册(中文)、维修手册(中文)等相关材料。</w:t>
            </w:r>
          </w:p>
          <w:p>
            <w:pPr>
              <w:pStyle w:val="null3"/>
              <w:ind w:firstLine="420"/>
            </w:pPr>
            <w:r>
              <w:rPr>
                <w:sz w:val="24"/>
                <w:color w:val="000000"/>
              </w:rPr>
              <w:t>6.</w:t>
            </w:r>
            <w:r>
              <w:rPr>
                <w:sz w:val="24"/>
                <w:color w:val="000000"/>
              </w:rPr>
              <w:t>设备外包装箱及设备外壳要有明显的型号标记和唯一产品编号（产品编号为二维码加编号）。</w:t>
            </w:r>
          </w:p>
          <w:p>
            <w:pPr>
              <w:pStyle w:val="null3"/>
              <w:ind w:firstLine="420"/>
            </w:pPr>
            <w:r>
              <w:rPr>
                <w:sz w:val="24"/>
                <w:color w:val="000000"/>
              </w:rPr>
              <w:t>7.</w:t>
            </w:r>
            <w:r>
              <w:rPr>
                <w:sz w:val="24"/>
                <w:color w:val="000000"/>
              </w:rPr>
              <w:t>质保期内因不能排除的故障而影响工作的情况每发生一次，其质保期相应延长60个日历日，质保期内因设备本身缺陷造成各种故障应由投标人提供技术服务和维修。质保期内，投标人负责对其提供的设备进行维修，费用包含在合同金额中。</w:t>
            </w:r>
          </w:p>
          <w:p>
            <w:pPr>
              <w:pStyle w:val="null3"/>
              <w:ind w:firstLine="420"/>
              <w:jc w:val="both"/>
            </w:pPr>
            <w:r>
              <w:rPr>
                <w:sz w:val="24"/>
              </w:rPr>
              <w:t>8.合同履行期限为合同签订之日起至完成合同所要求的内容及服务。</w:t>
            </w:r>
          </w:p>
        </w:tc>
      </w:tr>
      <w:tr>
        <w:tc>
          <w:tcPr>
            <w:tcW w:type="dxa" w:w="2076"/>
          </w:tcPr>
          <w:p/>
        </w:tc>
        <w:tc>
          <w:tcPr>
            <w:tcW w:type="dxa" w:w="415"/>
          </w:tcPr>
          <w:p>
            <w:pPr>
              <w:pStyle w:val="null3"/>
            </w:pPr>
            <w:r>
              <w:rPr/>
              <w:t>8</w:t>
            </w:r>
          </w:p>
        </w:tc>
        <w:tc>
          <w:tcPr>
            <w:tcW w:type="dxa" w:w="5814"/>
          </w:tcPr>
          <w:p>
            <w:pPr>
              <w:pStyle w:val="null3"/>
              <w:ind w:firstLine="422"/>
              <w:jc w:val="both"/>
            </w:pPr>
            <w:r>
              <w:rPr>
                <w:sz w:val="24"/>
                <w:b/>
              </w:rPr>
              <w:t>八、培训要求</w:t>
            </w:r>
          </w:p>
          <w:p>
            <w:pPr>
              <w:pStyle w:val="null3"/>
              <w:ind w:firstLine="420"/>
              <w:jc w:val="both"/>
            </w:pPr>
            <w:r>
              <w:rPr>
                <w:sz w:val="24"/>
              </w:rPr>
              <w:t>中标人需提供技术支持和产品使用及日常维护操作培训。</w:t>
            </w:r>
          </w:p>
        </w:tc>
      </w:tr>
      <w:tr>
        <w:tc>
          <w:tcPr>
            <w:tcW w:type="dxa" w:w="2076"/>
          </w:tcPr>
          <w:p/>
        </w:tc>
        <w:tc>
          <w:tcPr>
            <w:tcW w:type="dxa" w:w="415"/>
          </w:tcPr>
          <w:p>
            <w:pPr>
              <w:pStyle w:val="null3"/>
            </w:pPr>
            <w:r>
              <w:rPr/>
              <w:t>9</w:t>
            </w:r>
          </w:p>
        </w:tc>
        <w:tc>
          <w:tcPr>
            <w:tcW w:type="dxa" w:w="5814"/>
          </w:tcPr>
          <w:p>
            <w:pPr>
              <w:pStyle w:val="null3"/>
              <w:ind w:firstLine="422"/>
              <w:jc w:val="both"/>
            </w:pPr>
            <w:r>
              <w:rPr>
                <w:sz w:val="24"/>
                <w:b/>
              </w:rPr>
              <w:t>九、设备维修响应便利性</w:t>
            </w:r>
          </w:p>
          <w:p>
            <w:pPr>
              <w:pStyle w:val="null3"/>
              <w:ind w:firstLine="420"/>
              <w:jc w:val="both"/>
            </w:pPr>
            <w:r>
              <w:rPr>
                <w:sz w:val="24"/>
              </w:rPr>
              <w:t>投标人接到通知后2小时内作出响应，并在24小时内解决问题。（提供承诺函，格式见招标文件“格式十：承诺函”）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采购包1：保证金人民币0.0元整</w:t>
            </w:r>
          </w:p>
          <w:p>
            <w:pPr>
              <w:pStyle w:val="null3"/>
            </w:pPr>
            <w:r>
              <w:rPr/>
              <w:t>缴费渠道：</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货物类”费率下浮15%实行差额定率累进法收费，计算基数为中标金额：中标金额在100万（含）以下的，代理服务费按1.5%计算；100万（不含）到500万（含）的，按1.1%计算；500（不含）万到1000万（含）的，按0.8%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2200台安卓终端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采购包1（2025年2200台安卓终端机采购项目）：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采购包1（2025年2200台安卓终端机采购项目）：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本项目不接受联合体投标，不接受分包、转包。</w:t>
            </w:r>
          </w:p>
        </w:tc>
        <w:tc>
          <w:tcPr>
            <w:tcW w:type="dxa" w:w="4238"/>
          </w:tcPr>
          <w:p>
            <w:pPr>
              <w:pStyle w:val="null3"/>
            </w:pPr>
            <w:r>
              <w:rPr/>
              <w:t>本项目不接受联合体投标，不接受分包、转包。</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提供的所有产品须全部由小微企业生产且使用该小微企业商号或注册商标。小微企业须符合本项目采购标的对应行业（工业）的政策划分标准。监狱企业、残疾人福利单位视同小型、微型企业。 注1：小微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 注2：本项目为货物类，请填写货物类型的《中小企业声明函》，如按服务或工程类型的《中小企业声明函》进行填写，不视为小微企业。</w:t>
            </w:r>
          </w:p>
        </w:tc>
      </w:tr>
    </w:tbl>
    <w:p>
      <w:pPr>
        <w:pStyle w:val="null3"/>
        <w:ind w:firstLine="480"/>
      </w:pPr>
      <w:r>
        <w:rPr/>
        <w:t>表二符合性审查表：</w:t>
      </w:r>
    </w:p>
    <w:p>
      <w:pPr>
        <w:pStyle w:val="null3"/>
      </w:pPr>
      <w:r>
        <w:rPr/>
        <w:t>采购包1（2025年2200台安卓终端机采购项目）：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投标报价是否满足招标文件要求。</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采购包1(2025年2200台安卓终端机采购项目):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技术部分46.0分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技术响应性评审1 (16.0分)</w:t>
            </w:r>
          </w:p>
        </w:tc>
        <w:tc>
          <w:tcPr>
            <w:tcW w:type="dxa" w:w="5076"/>
          </w:tcPr>
          <w:p>
            <w:pPr>
              <w:pStyle w:val="null3"/>
              <w:jc w:val="left"/>
            </w:pPr>
            <w:r>
              <w:rPr/>
              <w:t>根据采购需求“（二）体育彩票安卓终端机各部件配置要求”，考查有效投标人投标产品“▲”号重要条款技术参数响应程度： （1）中央处理器：核心数量不低于2个、主频不低于 2GHz，或核心数量不低于4个、主频不低于1GHz，得1分；其余得0分。 （2）主机内存容量：①内存容量≥8G,得2分； ②8G＞内存容量≥4G，得1分；③4G＞内存容量≥2G，得0.5分；其余得0分。 （3）主机存储容量：①主存容量≥64G，得4分； ②64G＞主存容量≥32G，得2分；③32G＞主存容量≥16G，得1分；其余得0分。 （4）整机平均无故障时间（MTBF）：①50000小时≤时长＜80000小时，得0.5分；②80000小时≤时长＜110000小时，得1分；③110000小时≤时长＜140000小时，得2分；④140000小时≤时长＜170000小时，得3分；⑤170000小时≤时长，得4分；其余得0分。（此项需提供具有CMA或CNAS认证的第三方检测机构出具的检测报告，否则不得分） （5）显示屏主屏和副屏的尺寸：尺寸≥15.6英寸的得2分，15.6英寸＞尺寸≥13.3英寸的得1分，13.3英寸＞尺寸，不得分。（如果显示屏主屏和副屏尺寸不一致时，以小的屏幕尺寸作为评分依据。） （6）显示屏分辨率：分辨率支持 1280×800 或 1280×720 或 1366×768，得1分；其余得0分。 （7）平均修复时间（MTTR）：①时长＜1分钟，得2分； ②1分钟≤时长＜3分钟，得1分；③3分钟≤时长≤5分钟，得0.5分；其余得0分。（此项需提供具有CMA或CNAS认证的第三方检测机构出具的检测报告，否则不得分） 注：“▲”重要条款须提供技术资料证明材料（如制造厂商产品官网图片、产品说明手册或制造厂商公开发布的印刷的资料或官网技术资料截图或技术白皮书、具有CMA或CNAS认证的第三方检测机构出具的检测报告）。如相关资料为英文版的，请同时提供中文版。未提供或资料不能显示，对应参数项不得分。</w:t>
            </w:r>
          </w:p>
        </w:tc>
      </w:tr>
      <w:tr>
        <w:tc>
          <w:tcPr>
            <w:tcW w:type="dxa" w:w="922"/>
            <w:gridSpan w:val="2"/>
            <w:vMerge/>
          </w:tcPr>
          <w:p/>
        </w:tc>
        <w:tc>
          <w:tcPr>
            <w:tcW w:type="dxa" w:w="2307"/>
          </w:tcPr>
          <w:p>
            <w:pPr>
              <w:pStyle w:val="null3"/>
              <w:jc w:val="left"/>
            </w:pPr>
            <w:r>
              <w:rPr/>
              <w:t>技术响应性评审2 (4.0分)</w:t>
            </w:r>
          </w:p>
        </w:tc>
        <w:tc>
          <w:tcPr>
            <w:tcW w:type="dxa" w:w="5076"/>
          </w:tcPr>
          <w:p>
            <w:pPr>
              <w:pStyle w:val="null3"/>
              <w:jc w:val="left"/>
            </w:pPr>
            <w:r>
              <w:rPr/>
              <w:t>根据采购需求的“（二）体育彩票安卓终端机各部件配置要求”，考查有效投标人投标产品非“★”、非“▲”号及非演示项条款的技术参数响应程度，“硬件接口”、“无线网卡”、“扩展功能”、“显卡”、“音频要求”、“打印设备”、“条码阅读设备”、“触摸屏”、“通信设备”共9个项目，完全满足9个项目的所有非“★”、非“▲”号及非演示项条款的技术参数得4分，每有1个非“★”、非“▲”号及非演示项条款的技术参数不满足扣0.5分，直至本项目为0分。 注：如采购需求中有明确提供的证明材料，则以采购需求要求的为准；如采购需求中无明确证明材料的，以投标人提供的《技术和服务要求响应表》的响应情况进行评审。</w:t>
            </w:r>
          </w:p>
        </w:tc>
      </w:tr>
      <w:tr>
        <w:tc>
          <w:tcPr>
            <w:tcW w:type="dxa" w:w="922"/>
            <w:gridSpan w:val="2"/>
            <w:vMerge/>
          </w:tcPr>
          <w:p/>
        </w:tc>
        <w:tc>
          <w:tcPr>
            <w:tcW w:type="dxa" w:w="2307"/>
          </w:tcPr>
          <w:p>
            <w:pPr>
              <w:pStyle w:val="null3"/>
              <w:jc w:val="left"/>
            </w:pPr>
            <w:r>
              <w:rPr/>
              <w:t>供货时间 (3.0分)</w:t>
            </w:r>
          </w:p>
        </w:tc>
        <w:tc>
          <w:tcPr>
            <w:tcW w:type="dxa" w:w="5076"/>
          </w:tcPr>
          <w:p>
            <w:pPr>
              <w:pStyle w:val="null3"/>
              <w:jc w:val="left"/>
            </w:pPr>
            <w:r>
              <w:rPr/>
              <w:t>根据各投标人的供货方案的供货时间进行评分： （1）供货时间≤15个自然日，得3分； （2）15个自然日＜供货时间≤20个自然日，得2分； （3）20个自然日＜供货时间≤30个自然日，得1分； （4）无提供相关内容或评委无法认定的，得0分。 注：需提供承诺函，格式见招标文件“格式十：承诺函”，不提供不得分。</w:t>
            </w:r>
          </w:p>
        </w:tc>
      </w:tr>
      <w:tr>
        <w:tc>
          <w:tcPr>
            <w:tcW w:type="dxa" w:w="922"/>
            <w:gridSpan w:val="2"/>
            <w:vMerge/>
          </w:tcPr>
          <w:p/>
        </w:tc>
        <w:tc>
          <w:tcPr>
            <w:tcW w:type="dxa" w:w="2307"/>
          </w:tcPr>
          <w:p>
            <w:pPr>
              <w:pStyle w:val="null3"/>
              <w:jc w:val="left"/>
            </w:pPr>
            <w:r>
              <w:rPr/>
              <w:t>质保、售后及服务方案 (5.0分)</w:t>
            </w:r>
          </w:p>
        </w:tc>
        <w:tc>
          <w:tcPr>
            <w:tcW w:type="dxa" w:w="5076"/>
          </w:tcPr>
          <w:p>
            <w:pPr>
              <w:pStyle w:val="null3"/>
              <w:jc w:val="left"/>
            </w:pPr>
            <w:r>
              <w:rPr/>
              <w:t>根据采购需求的“四、质保期”、“五、售后技术服务要求”、“八、培训要求”，对投标人的服务方案（包括售后服务、培训方案等）进行评审： 1、完全满足且优于项目要求，得5分； 2、完全满足项目要求的，得3分； 3、不完全满足项目要求的，得1分； 4、未提供方案的不得分。</w:t>
            </w:r>
          </w:p>
        </w:tc>
      </w:tr>
      <w:tr>
        <w:tc>
          <w:tcPr>
            <w:tcW w:type="dxa" w:w="922"/>
            <w:gridSpan w:val="2"/>
            <w:vMerge/>
          </w:tcPr>
          <w:p/>
        </w:tc>
        <w:tc>
          <w:tcPr>
            <w:tcW w:type="dxa" w:w="2307"/>
          </w:tcPr>
          <w:p>
            <w:pPr>
              <w:pStyle w:val="null3"/>
              <w:jc w:val="left"/>
            </w:pPr>
            <w:r>
              <w:rPr/>
              <w:t>备件耗材服务方案 (4.0分)</w:t>
            </w:r>
          </w:p>
        </w:tc>
        <w:tc>
          <w:tcPr>
            <w:tcW w:type="dxa" w:w="5076"/>
          </w:tcPr>
          <w:p>
            <w:pPr>
              <w:pStyle w:val="null3"/>
              <w:jc w:val="left"/>
            </w:pPr>
            <w:r>
              <w:rPr/>
              <w:t>根据采购需求“六、备品备件及耗材等要求”，对投标人的服务方案进行评审： 1、完全满足且优于项目要求，得4分； 2、完全满足项目要求的，得2分； 3、不完全满足项目要求的，得1分； 4、未提供方案的不得分。</w:t>
            </w:r>
          </w:p>
        </w:tc>
      </w:tr>
      <w:tr>
        <w:tc>
          <w:tcPr>
            <w:tcW w:type="dxa" w:w="922"/>
            <w:gridSpan w:val="2"/>
            <w:vMerge/>
          </w:tcPr>
          <w:p/>
        </w:tc>
        <w:tc>
          <w:tcPr>
            <w:tcW w:type="dxa" w:w="2307"/>
          </w:tcPr>
          <w:p>
            <w:pPr>
              <w:pStyle w:val="null3"/>
              <w:jc w:val="left"/>
            </w:pPr>
            <w:r>
              <w:rPr/>
              <w:t>其他服务方案 (4.0分)</w:t>
            </w:r>
          </w:p>
        </w:tc>
        <w:tc>
          <w:tcPr>
            <w:tcW w:type="dxa" w:w="5076"/>
          </w:tcPr>
          <w:p>
            <w:pPr>
              <w:pStyle w:val="null3"/>
              <w:jc w:val="left"/>
            </w:pPr>
            <w:r>
              <w:rPr/>
              <w:t>根据采购需求“七、其他要求”，对投标人的服务方案进行评审： 1、完全满足且优于项目要求，得4分； 2、完全满足项目要求的，得2分； 3、不完全满足项目要求的，得1分； 4、未提供方案的不得分。</w:t>
            </w:r>
          </w:p>
        </w:tc>
      </w:tr>
      <w:tr>
        <w:tc>
          <w:tcPr>
            <w:tcW w:type="dxa" w:w="922"/>
            <w:gridSpan w:val="2"/>
            <w:vMerge/>
          </w:tcPr>
          <w:p/>
        </w:tc>
        <w:tc>
          <w:tcPr>
            <w:tcW w:type="dxa" w:w="2307"/>
          </w:tcPr>
          <w:p>
            <w:pPr>
              <w:pStyle w:val="null3"/>
              <w:jc w:val="left"/>
            </w:pPr>
            <w:r>
              <w:rPr/>
              <w:t>样机演示情况 (5.0分)</w:t>
            </w:r>
          </w:p>
        </w:tc>
        <w:tc>
          <w:tcPr>
            <w:tcW w:type="dxa" w:w="5076"/>
          </w:tcPr>
          <w:p>
            <w:pPr>
              <w:pStyle w:val="null3"/>
              <w:jc w:val="left"/>
            </w:pPr>
            <w:r>
              <w:rPr/>
              <w:t>根据投标人的样机演示情况进行评审： 1.彩票打印：能按照指定的样票格式打印出彩票，并正确切纸。 2.打印彩票出票时面对销售员正向显示，且连续出票不导致卡纸。 3.条码阅读器：能正确识别彩票上的二维码内容。 4.图像及视频显示：能显示指定图片和全屏运动图像。 5.触摸屏功能，设备主副屏均能通过触摸屏功能对系统进行操作。 每满足一条得1分，共5条最高得5分，不提供样机或不演示对应项不得分。</w:t>
            </w:r>
          </w:p>
        </w:tc>
      </w:tr>
      <w:tr>
        <w:tc>
          <w:tcPr>
            <w:tcW w:type="dxa" w:w="922"/>
            <w:gridSpan w:val="2"/>
            <w:vMerge/>
          </w:tcPr>
          <w:p/>
        </w:tc>
        <w:tc>
          <w:tcPr>
            <w:tcW w:type="dxa" w:w="2307"/>
          </w:tcPr>
          <w:p>
            <w:pPr>
              <w:pStyle w:val="null3"/>
              <w:jc w:val="left"/>
            </w:pPr>
            <w:r>
              <w:rPr/>
              <w:t>设备维护响应便利性 (5.0分)</w:t>
            </w:r>
          </w:p>
        </w:tc>
        <w:tc>
          <w:tcPr>
            <w:tcW w:type="dxa" w:w="5076"/>
          </w:tcPr>
          <w:p>
            <w:pPr>
              <w:pStyle w:val="null3"/>
              <w:jc w:val="left"/>
            </w:pPr>
            <w:r>
              <w:rPr/>
              <w:t>投标人接到通知后2小时内作出响应，并在24小时内解决问题的得5分； 投标人接到通知后2（不含2小时）~3小时内作出响应，并在24小时内解决问题的得3分； 投标人接到通知后3（不含3小时）小时以上作出响应，并在24小时内解决问题的得1分； 注：需提供承诺书，格式见招标文件“格式十：承诺函”，无提供或其他情况不得分。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(2.0分)</w:t>
            </w:r>
          </w:p>
        </w:tc>
        <w:tc>
          <w:tcPr>
            <w:tcW w:type="dxa" w:w="5076"/>
          </w:tcPr>
          <w:p>
            <w:pPr>
              <w:pStyle w:val="null3"/>
              <w:jc w:val="left"/>
            </w:pPr>
            <w:r>
              <w:rPr/>
              <w:t>投标人获得有效的质量管理体系认证得2分，否则不得分。 注：须提供证书复印件及在“全国认证认可信息公共服务平台（http://cx.cnca.cn/CertECloud/index/index/page）"查询的上述体系证书的信息查询截图，已失效、撤销、暂停或不提供的不得分。以上证书如因成立时间原因不足3个月未能获得证书且投标人提供书面说明的，可对应得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投标人提供2022年1月1日至今（以合同签订日期为准），彩票终端机销售业绩，每提供一份业绩得1分，最高得8分，专家无法认定的对应项不得分。 注：以合同的关键页复印件为依据(须包括项目名称、签约时间、终端机机型、双方盖章签字页，合同涉密条款可遮挡)。</w:t>
            </w:r>
          </w:p>
        </w:tc>
      </w:tr>
      <w:tr>
        <w:tc>
          <w:tcPr>
            <w:tcW w:type="dxa" w:w="922"/>
            <w:gridSpan w:val="2"/>
            <w:vMerge/>
          </w:tcPr>
          <w:p/>
        </w:tc>
        <w:tc>
          <w:tcPr>
            <w:tcW w:type="dxa" w:w="2307"/>
          </w:tcPr>
          <w:p>
            <w:pPr>
              <w:pStyle w:val="null3"/>
              <w:jc w:val="left"/>
            </w:pPr>
            <w:r>
              <w:rPr/>
              <w:t>服务评价 (4.0分)</w:t>
            </w:r>
          </w:p>
        </w:tc>
        <w:tc>
          <w:tcPr>
            <w:tcW w:type="dxa" w:w="5076"/>
          </w:tcPr>
          <w:p>
            <w:pPr>
              <w:pStyle w:val="null3"/>
              <w:jc w:val="left"/>
            </w:pPr>
            <w:r>
              <w:rPr/>
              <w:t>投标人提供与上述有效的“同类项目业绩”对应的用户正面评价资料，评价情况至少为“满意或好评或相同含义的”方可计分，每份得0.5分，本项最高得4分，无提供或专家无法认定的不得分。 备注： （1）提供由用户出具并加盖用户公章的满意度评价表等证明材料复印件； （2）同一用户或同一项目提供多项用户满意度评价的，按一项计算。</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rPr>
        <w:t>广 东 省 政 府 采 购</w:t>
      </w:r>
    </w:p>
    <w:p>
      <w:pPr>
        <w:pStyle w:val="null3"/>
        <w:jc w:val="center"/>
      </w:pPr>
      <w:r>
        <w:rPr/>
        <w:t xml:space="preserve"> </w:t>
      </w:r>
    </w:p>
    <w:p>
      <w:pPr>
        <w:pStyle w:val="null3"/>
        <w:jc w:val="center"/>
      </w:pPr>
      <w:r>
        <w:rPr/>
        <w:t xml:space="preserve"> </w:t>
      </w:r>
    </w:p>
    <w:p>
      <w:pPr>
        <w:pStyle w:val="null3"/>
        <w:jc w:val="center"/>
      </w:pPr>
      <w:r>
        <w:rPr>
          <w:sz w:val="54"/>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采购计划编号：</w:t>
      </w:r>
    </w:p>
    <w:p>
      <w:pPr>
        <w:pStyle w:val="null3"/>
        <w:jc w:val="left"/>
      </w:pPr>
      <w:r>
        <w:rPr/>
        <w:t xml:space="preserve"> </w:t>
      </w:r>
    </w:p>
    <w:p>
      <w:pPr>
        <w:pStyle w:val="null3"/>
        <w:jc w:val="left"/>
      </w:pPr>
      <w:r>
        <w:rPr>
          <w:sz w:val="27"/>
          <w:b/>
        </w:rPr>
        <w:t>项目编号：</w:t>
      </w:r>
    </w:p>
    <w:p>
      <w:pPr>
        <w:pStyle w:val="null3"/>
        <w:jc w:val="left"/>
      </w:pPr>
      <w:r>
        <w:rPr/>
        <w:t xml:space="preserve"> </w:t>
      </w:r>
    </w:p>
    <w:p>
      <w:pPr>
        <w:pStyle w:val="null3"/>
        <w:jc w:val="left"/>
      </w:pPr>
      <w:r>
        <w:rPr>
          <w:sz w:val="27"/>
          <w:b/>
        </w:rPr>
        <w:t>项目名称：</w:t>
      </w:r>
    </w:p>
    <w:p>
      <w:pPr>
        <w:pStyle w:val="null3"/>
        <w:jc w:val="left"/>
      </w:pPr>
      <w:r>
        <w:rPr/>
        <w:t xml:space="preserve"> </w:t>
      </w:r>
    </w:p>
    <w:p>
      <w:pPr>
        <w:pStyle w:val="null3"/>
        <w:jc w:val="left"/>
      </w:pPr>
      <w:r>
        <w:rPr>
          <w:sz w:val="27"/>
          <w:b/>
        </w:rPr>
        <w:t>注：合同格式为合同的参考文本，除实质性内容外，合同签订双方可根据项目的具体要求进行修订。</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pPr>
      <w:r>
        <w:rPr>
          <w:sz w:val="24"/>
        </w:rPr>
        <w:t>甲方：</w:t>
      </w:r>
    </w:p>
    <w:p>
      <w:pPr>
        <w:pStyle w:val="null3"/>
        <w:ind w:firstLine="480"/>
        <w:jc w:val="both"/>
      </w:pPr>
      <w:r>
        <w:rPr>
          <w:sz w:val="24"/>
        </w:rPr>
        <w:t>电话：传真：</w:t>
      </w:r>
    </w:p>
    <w:p>
      <w:pPr>
        <w:pStyle w:val="null3"/>
        <w:ind w:firstLine="480"/>
        <w:jc w:val="both"/>
      </w:pPr>
      <w:r>
        <w:rPr>
          <w:sz w:val="24"/>
        </w:rPr>
        <w:t>地址：</w:t>
      </w:r>
    </w:p>
    <w:p>
      <w:pPr>
        <w:pStyle w:val="null3"/>
        <w:ind w:firstLine="480"/>
        <w:jc w:val="both"/>
      </w:pPr>
      <w:r>
        <w:rPr>
          <w:sz w:val="24"/>
        </w:rPr>
        <w:t>乙方：</w:t>
      </w:r>
    </w:p>
    <w:p>
      <w:pPr>
        <w:pStyle w:val="null3"/>
        <w:ind w:firstLine="480"/>
        <w:jc w:val="both"/>
      </w:pPr>
      <w:r>
        <w:rPr>
          <w:sz w:val="24"/>
        </w:rPr>
        <w:t>电话：传真：</w:t>
      </w:r>
    </w:p>
    <w:p>
      <w:pPr>
        <w:pStyle w:val="null3"/>
        <w:ind w:firstLine="480"/>
        <w:jc w:val="both"/>
      </w:pPr>
      <w:r>
        <w:rPr>
          <w:sz w:val="24"/>
        </w:rPr>
        <w:t>地址：</w:t>
      </w:r>
    </w:p>
    <w:p>
      <w:pPr>
        <w:pStyle w:val="null3"/>
        <w:ind w:firstLine="480"/>
        <w:jc w:val="both"/>
      </w:pPr>
      <w:r>
        <w:rPr>
          <w:sz w:val="24"/>
        </w:rPr>
        <w:t>根据项目的采购结果，按照《中华人民共和国政府采购法》《中华人民共和国民法典》的规定，经双方协商，本着平等互利和诚实信用的原则，一致同意签订本合同如下。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80"/>
        <w:gridCol w:w="2909"/>
        <w:gridCol w:w="855"/>
        <w:gridCol w:w="720"/>
        <w:gridCol w:w="855"/>
        <w:gridCol w:w="1079"/>
        <w:gridCol w:w="1109"/>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29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品牌、规格、标准/主要服务内容</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产地</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单价（元）</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金额（元）</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7198"/>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合计：人民币大写：**元整</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80"/>
        <w:jc w:val="both"/>
      </w:pPr>
      <w:r>
        <w:rPr>
          <w:sz w:val="24"/>
        </w:rPr>
        <w:t>合同金额包括乙方设计、安装、随机零配件、标配工具、运输保险、调试、培训、质保期服务、各项税费及合同实施过程中不可预见费用等。</w:t>
      </w:r>
    </w:p>
    <w:p>
      <w:pPr>
        <w:pStyle w:val="null3"/>
        <w:ind w:firstLine="480"/>
        <w:jc w:val="both"/>
      </w:pPr>
      <w:r>
        <w:rPr>
          <w:sz w:val="24"/>
        </w:rPr>
        <w:t>注：货物名称内容必须与投标文件中货物名称内容一致。</w:t>
      </w:r>
    </w:p>
    <w:p>
      <w:pPr>
        <w:pStyle w:val="null3"/>
        <w:ind w:firstLine="482"/>
        <w:jc w:val="both"/>
      </w:pPr>
      <w:r>
        <w:rPr>
          <w:sz w:val="24"/>
          <w:b/>
        </w:rPr>
        <w:t>二、合同金额</w:t>
      </w:r>
    </w:p>
    <w:p>
      <w:pPr>
        <w:pStyle w:val="null3"/>
        <w:ind w:firstLine="480"/>
        <w:jc w:val="both"/>
      </w:pPr>
      <w:r>
        <w:rPr>
          <w:sz w:val="24"/>
        </w:rPr>
        <w:t>合同金额为人民币（大写）：</w:t>
      </w:r>
      <w:r>
        <w:rPr>
          <w:sz w:val="24"/>
          <w:u w:val="single"/>
        </w:rPr>
        <w:t xml:space="preserve">                     </w:t>
      </w:r>
      <w:r>
        <w:rPr>
          <w:sz w:val="24"/>
        </w:rPr>
        <w:t>元（￥</w:t>
      </w:r>
      <w:r>
        <w:rPr>
          <w:sz w:val="24"/>
          <w:u w:val="single"/>
        </w:rPr>
        <w:t xml:space="preserve">                     </w:t>
      </w:r>
      <w:r>
        <w:rPr>
          <w:sz w:val="24"/>
        </w:rPr>
        <w:t>元）。</w:t>
      </w:r>
    </w:p>
    <w:p>
      <w:pPr>
        <w:pStyle w:val="null3"/>
        <w:ind w:firstLine="482"/>
        <w:jc w:val="both"/>
      </w:pPr>
      <w:r>
        <w:rPr>
          <w:sz w:val="24"/>
          <w:b/>
        </w:rPr>
        <w:t>三、设备要求</w:t>
      </w:r>
    </w:p>
    <w:p>
      <w:pPr>
        <w:pStyle w:val="null3"/>
        <w:ind w:firstLine="480"/>
        <w:jc w:val="both"/>
      </w:pPr>
      <w:r>
        <w:rPr>
          <w:sz w:val="24"/>
        </w:rPr>
        <w:t>1、货物为原制造商制造的全新产品（含零部件、配件、随机工具等），整机无污染，无侵权行为、表面无划损、无任何缺陷隐患、无碰撞、配件齐全，完全符合国家有关质量标准，并附有产品质量检验合格证书，在中国境内可依常规安全合法使用。</w:t>
      </w:r>
    </w:p>
    <w:p>
      <w:pPr>
        <w:pStyle w:val="null3"/>
        <w:ind w:firstLine="480"/>
        <w:jc w:val="both"/>
      </w:pPr>
      <w:r>
        <w:rPr>
          <w:sz w:val="24"/>
        </w:rPr>
        <w:t>2、货物为原厂商未启封全新包装，具有出厂合格证，序列号、包装箱号与出厂批号一致，并可追索查阅。</w:t>
      </w:r>
    </w:p>
    <w:p>
      <w:pPr>
        <w:pStyle w:val="null3"/>
        <w:ind w:firstLine="480"/>
        <w:jc w:val="both"/>
      </w:pPr>
      <w:r>
        <w:rPr>
          <w:sz w:val="24"/>
        </w:rPr>
        <w:t>3、乙方应将关键主机设备的用户手册、保修手册、有关单证资料及配备件、随机工具等交付给甲方，使用操作及安全须知等重要资料应附有中文说明。</w:t>
      </w:r>
    </w:p>
    <w:p>
      <w:pPr>
        <w:pStyle w:val="null3"/>
        <w:ind w:firstLine="480"/>
        <w:jc w:val="both"/>
      </w:pPr>
      <w:r>
        <w:rPr>
          <w:sz w:val="24"/>
        </w:rPr>
        <w:t>4、如果发现货物的质量和规格与合同规定不符或货物在质量保证期内被证明有缺陷，包括内在缺陷或使用不适当原材料，甲方将有权要求有关部门进行检验，并依据检验证书向乙方索赔。</w:t>
      </w:r>
    </w:p>
    <w:p>
      <w:pPr>
        <w:pStyle w:val="null3"/>
        <w:ind w:firstLine="482"/>
        <w:jc w:val="both"/>
      </w:pPr>
      <w:r>
        <w:rPr>
          <w:sz w:val="24"/>
          <w:b/>
        </w:rPr>
        <w:t>四、交货期及交货地点</w:t>
      </w:r>
    </w:p>
    <w:p>
      <w:pPr>
        <w:pStyle w:val="null3"/>
        <w:ind w:firstLine="480"/>
        <w:jc w:val="both"/>
      </w:pPr>
      <w:r>
        <w:rPr>
          <w:sz w:val="24"/>
        </w:rPr>
        <w:t>1、交货期：自甲方下达供货通知之日起，1个月内完成货物的供货、安装调试等服务，并将相关交付材料报甲方，申请办理验收。交付要求：合同签订后一个月内交付200台，2025年11月交付2000台。</w:t>
      </w:r>
    </w:p>
    <w:p>
      <w:pPr>
        <w:pStyle w:val="null3"/>
        <w:ind w:firstLine="480"/>
        <w:jc w:val="both"/>
      </w:pPr>
      <w:r>
        <w:rPr>
          <w:sz w:val="24"/>
        </w:rPr>
        <w:t>2、交货地点：分别送到甲方指定地点并安装验收完毕</w:t>
      </w:r>
    </w:p>
    <w:p>
      <w:pPr>
        <w:pStyle w:val="null3"/>
        <w:ind w:firstLine="482"/>
        <w:jc w:val="both"/>
      </w:pPr>
      <w:r>
        <w:rPr>
          <w:sz w:val="24"/>
          <w:b/>
        </w:rPr>
        <w:t>五、付款方式</w:t>
      </w:r>
    </w:p>
    <w:p>
      <w:pPr>
        <w:pStyle w:val="null3"/>
        <w:ind w:firstLine="480"/>
        <w:jc w:val="both"/>
      </w:pPr>
      <w:r>
        <w:rPr>
          <w:sz w:val="24"/>
          <w:color w:val="000000"/>
        </w:rPr>
        <w:t>1.</w:t>
      </w:r>
      <w:r>
        <w:rPr>
          <w:sz w:val="24"/>
          <w:color w:val="000000"/>
        </w:rPr>
        <w:t>支付比例40%，签订后5个工作日内，甲方收到发票10个工作日内向乙方支付合同金额的40%作预付款。乙方需及时提供等额的正式发票给甲方，以便甲方办理支付手续。</w:t>
      </w:r>
    </w:p>
    <w:p>
      <w:pPr>
        <w:pStyle w:val="null3"/>
        <w:ind w:firstLine="480"/>
        <w:jc w:val="both"/>
      </w:pPr>
      <w:r>
        <w:rPr>
          <w:sz w:val="24"/>
          <w:color w:val="000000"/>
        </w:rPr>
        <w:t>2.</w:t>
      </w:r>
      <w:r>
        <w:rPr>
          <w:sz w:val="24"/>
          <w:color w:val="000000"/>
        </w:rPr>
        <w:t>支付比例60%，所有货物交付完成，并经甲方验收合格后15天内，支付合同金额的60%。乙方需及时提供等额的正式发票给甲方，以便甲方办理支付手续。</w:t>
      </w:r>
    </w:p>
    <w:p>
      <w:pPr>
        <w:pStyle w:val="null3"/>
        <w:ind w:firstLine="480"/>
        <w:jc w:val="both"/>
      </w:pPr>
      <w:r>
        <w:rPr>
          <w:sz w:val="24"/>
          <w:color w:val="000000"/>
        </w:rPr>
        <w:t>注：因甲方使用的是财政资金，甲方在规定的付款时间为向政府采购支付部门提出办理财政支付申请手续的时间，在规定的时间内提出支付申请手续后即视为甲方已经按期支付。</w:t>
      </w:r>
    </w:p>
    <w:p>
      <w:pPr>
        <w:pStyle w:val="null3"/>
        <w:ind w:firstLine="482"/>
        <w:jc w:val="both"/>
      </w:pPr>
      <w:r>
        <w:rPr>
          <w:sz w:val="24"/>
          <w:b/>
        </w:rPr>
        <w:t>六、验收要求</w:t>
      </w:r>
    </w:p>
    <w:p>
      <w:pPr>
        <w:pStyle w:val="null3"/>
        <w:ind w:firstLine="480"/>
        <w:jc w:val="both"/>
      </w:pPr>
      <w:r>
        <w:rPr>
          <w:sz w:val="24"/>
        </w:rPr>
        <w:t>1.开箱检验：所有设备、器材在开箱时必须完好，无破损，数量、配置、质量、技术性能指标等必须与投标文件及投标样机相符。</w:t>
      </w:r>
    </w:p>
    <w:p>
      <w:pPr>
        <w:pStyle w:val="null3"/>
        <w:ind w:firstLine="480"/>
        <w:jc w:val="both"/>
      </w:pPr>
      <w:r>
        <w:rPr>
          <w:sz w:val="24"/>
        </w:rPr>
        <w:t>2.文档：本项目的乙方应提供完整的原厂家随机文档和软件、设计文档、安装配置文档、测试文档等。乙方提供包括但不限于满足货物安装、使用和维护的技术文件。</w:t>
      </w:r>
    </w:p>
    <w:p>
      <w:pPr>
        <w:pStyle w:val="null3"/>
        <w:ind w:firstLine="480"/>
        <w:jc w:val="both"/>
      </w:pPr>
      <w:r>
        <w:rPr>
          <w:sz w:val="24"/>
        </w:rPr>
        <w:t>3.抽检：乙方应派出有经验的、高水平的技术人员根据《电脑体育彩票销售终端机到货抽检实施细则（2020）》相关要求协助完成到货设备抽检工作。如果任何被抽检或测试的产品不能满足采购要求的，甲方可以拒绝接受该产品，乙方需承担被甲方终止合同的一切风险和费用。</w:t>
      </w:r>
    </w:p>
    <w:p>
      <w:pPr>
        <w:pStyle w:val="null3"/>
        <w:ind w:firstLine="482"/>
        <w:jc w:val="both"/>
      </w:pPr>
      <w:r>
        <w:rPr>
          <w:sz w:val="24"/>
          <w:b/>
        </w:rPr>
        <w:t>七、履约保证金：无。</w:t>
      </w:r>
    </w:p>
    <w:p>
      <w:pPr>
        <w:pStyle w:val="null3"/>
        <w:ind w:firstLine="482"/>
        <w:jc w:val="both"/>
      </w:pPr>
      <w:r>
        <w:rPr>
          <w:sz w:val="24"/>
          <w:b/>
        </w:rPr>
        <w:t>八、质保期服务要求</w:t>
      </w:r>
    </w:p>
    <w:p>
      <w:pPr>
        <w:pStyle w:val="null3"/>
        <w:ind w:firstLine="480"/>
        <w:jc w:val="both"/>
      </w:pPr>
      <w:r>
        <w:rPr>
          <w:sz w:val="24"/>
        </w:rPr>
        <w:t>1. 质保期为从验收合格之日起计算，整机质保</w:t>
      </w:r>
      <w:r>
        <w:rPr>
          <w:sz w:val="24"/>
          <w:u w:val="single"/>
        </w:rPr>
        <w:t xml:space="preserve">    </w:t>
      </w:r>
      <w:r>
        <w:rPr>
          <w:sz w:val="24"/>
        </w:rPr>
        <w:t>年，包括乙方提供的彩票销售终端机（含备机）及配套设备，并且按照供货时间一次性提供不少于5％的备机（包括配套设备），质保期内设备出现任何质量问题，由乙方负责更换或维修，费用包含在合同金额中。质保期从验收合格之日起计算。设备的保修范围包括所有设备硬件故障和损耗。备机于本项目质保期满后30天内，由乙方自行收回，如未在规定时间取回的，甲方有权自行处理，相关费用包含在合同金额内。</w:t>
      </w:r>
    </w:p>
    <w:p>
      <w:pPr>
        <w:pStyle w:val="null3"/>
        <w:ind w:firstLine="480"/>
        <w:jc w:val="both"/>
      </w:pPr>
      <w:r>
        <w:rPr>
          <w:sz w:val="24"/>
        </w:rPr>
        <w:t>2.在质量保证服务期内向甲方提供对设备正常运行的所有服务，包括必要的材料和配套设备，相关费用包含在合同金额内。</w:t>
      </w:r>
    </w:p>
    <w:p>
      <w:pPr>
        <w:pStyle w:val="null3"/>
        <w:ind w:firstLine="480"/>
        <w:jc w:val="both"/>
      </w:pPr>
      <w:r>
        <w:rPr>
          <w:sz w:val="24"/>
        </w:rPr>
        <w:t>3.乙方提供详细、可行的项目实施维护方案，方案内容至少包括系统维护、软件升级、安全应急处理、质量保障等内容。</w:t>
      </w:r>
    </w:p>
    <w:p>
      <w:pPr>
        <w:pStyle w:val="null3"/>
        <w:ind w:firstLine="480"/>
        <w:jc w:val="both"/>
      </w:pPr>
      <w:r>
        <w:rPr>
          <w:sz w:val="24"/>
        </w:rPr>
        <w:t>4.定期派工程师到现场进行检查，每次检查及维修后写出详细书面报告，提供给甲方。并负责更换系统正常使用情况下损坏的部件；由于在设计、制造、安装不当所造成的损失，由乙方负责保修，并赔偿给甲方所造成的经济损失。</w:t>
      </w:r>
    </w:p>
    <w:p>
      <w:pPr>
        <w:pStyle w:val="null3"/>
        <w:ind w:firstLine="480"/>
        <w:jc w:val="both"/>
      </w:pPr>
      <w:r>
        <w:rPr>
          <w:sz w:val="24"/>
        </w:rPr>
        <w:t>5.乙方向甲方提供的系统维护手段包括电话支持、远程系统维护、现场系统维护等。</w:t>
      </w:r>
    </w:p>
    <w:p>
      <w:pPr>
        <w:pStyle w:val="null3"/>
        <w:ind w:firstLine="480"/>
        <w:jc w:val="both"/>
      </w:pPr>
      <w:r>
        <w:rPr>
          <w:sz w:val="24"/>
        </w:rPr>
        <w:t>6.在质量保证服务期内，乙方承诺在广东省内设立一个设备维修服务中心，且维修服务中心配备充足的设备维修配件，服务时间内不少于1名技术人员在岗，为本项目设备提供维修服务，设备采用寄修方式维修，寄修来回运费包含在合同金额中。</w:t>
      </w:r>
    </w:p>
    <w:p>
      <w:pPr>
        <w:pStyle w:val="null3"/>
        <w:ind w:firstLine="480"/>
        <w:jc w:val="both"/>
      </w:pPr>
      <w:r>
        <w:rPr>
          <w:sz w:val="24"/>
        </w:rPr>
        <w:t>7.在合同执行期间，乙方必须对甲方在系统扩充、设备升级等方面提供技术支持和服务（包括广东省体育彩票销售系统未来功能扩充所需要的软件及硬件升级），相关费用包含在合同金额内。</w:t>
      </w:r>
    </w:p>
    <w:p>
      <w:pPr>
        <w:pStyle w:val="null3"/>
        <w:ind w:firstLine="480"/>
        <w:jc w:val="both"/>
      </w:pPr>
      <w:r>
        <w:rPr>
          <w:sz w:val="24"/>
        </w:rPr>
        <w:t>8.乙方在合同规定的质量保证服务期内，依据合同条款进行维护管理。质量保证服务期后，甲方根据项目需要，可以与乙方继续签订质量保证服务合同。乙方要保证在质量保证服务合同到期后，两年内按照合理的价格供应充足的维修配件。</w:t>
      </w:r>
    </w:p>
    <w:p>
      <w:pPr>
        <w:pStyle w:val="null3"/>
        <w:ind w:firstLine="480"/>
        <w:jc w:val="both"/>
      </w:pPr>
      <w:r>
        <w:rPr>
          <w:sz w:val="24"/>
        </w:rPr>
        <w:t>9.提供技术支持和培训。</w:t>
      </w:r>
    </w:p>
    <w:p>
      <w:pPr>
        <w:pStyle w:val="null3"/>
        <w:ind w:firstLine="480"/>
        <w:jc w:val="both"/>
      </w:pPr>
      <w:r>
        <w:rPr>
          <w:sz w:val="24"/>
        </w:rPr>
        <w:t>10.甲方不安排、不解决乙方服务人员的住宿问题。</w:t>
      </w:r>
    </w:p>
    <w:p>
      <w:pPr>
        <w:pStyle w:val="null3"/>
        <w:ind w:firstLine="482"/>
        <w:jc w:val="both"/>
      </w:pPr>
      <w:r>
        <w:rPr>
          <w:sz w:val="24"/>
          <w:b/>
        </w:rPr>
        <w:t>九、交付及安装要求</w:t>
      </w:r>
    </w:p>
    <w:p>
      <w:pPr>
        <w:pStyle w:val="null3"/>
        <w:ind w:firstLine="480"/>
        <w:jc w:val="both"/>
      </w:pPr>
      <w:r>
        <w:rPr>
          <w:sz w:val="24"/>
        </w:rPr>
        <w:t>1.乙方提供的必须是技术成熟、性能可靠、设计先进的全新设备，并与广东省体育彩票销售系统相匹配。</w:t>
      </w:r>
    </w:p>
    <w:p>
      <w:pPr>
        <w:pStyle w:val="null3"/>
        <w:ind w:firstLine="480"/>
        <w:jc w:val="both"/>
      </w:pPr>
      <w:r>
        <w:rPr>
          <w:sz w:val="24"/>
        </w:rPr>
        <w:t>2.交付地点：分别送到甲方指定地点并安装验收完毕。</w:t>
      </w:r>
    </w:p>
    <w:p>
      <w:pPr>
        <w:pStyle w:val="null3"/>
        <w:ind w:firstLine="480"/>
        <w:jc w:val="both"/>
      </w:pPr>
      <w:r>
        <w:rPr>
          <w:sz w:val="24"/>
        </w:rPr>
        <w:t>3.交付时要随附货物清单。</w:t>
      </w:r>
    </w:p>
    <w:p>
      <w:pPr>
        <w:pStyle w:val="null3"/>
        <w:ind w:firstLine="480"/>
        <w:jc w:val="both"/>
      </w:pPr>
      <w:r>
        <w:rPr>
          <w:sz w:val="24"/>
        </w:rPr>
        <w:t>4.标记</w:t>
      </w:r>
    </w:p>
    <w:p>
      <w:pPr>
        <w:pStyle w:val="null3"/>
        <w:ind w:firstLine="480"/>
        <w:jc w:val="both"/>
      </w:pPr>
      <w:r>
        <w:rPr>
          <w:sz w:val="24"/>
        </w:rPr>
        <w:t>4.1货物包装及标记应按照有关国家标准执行，并符合货物特性要求。</w:t>
      </w:r>
    </w:p>
    <w:p>
      <w:pPr>
        <w:pStyle w:val="null3"/>
        <w:ind w:firstLine="480"/>
        <w:jc w:val="both"/>
      </w:pPr>
      <w:r>
        <w:rPr>
          <w:sz w:val="24"/>
        </w:rPr>
        <w:t>4.2保证货物在长途运输和装卸过程中的安全，货物包装应符合国家或行业标准规定。由于包装不善导致货物锈蚀、缺失或损坏，由乙方承担一切责任。</w:t>
      </w:r>
    </w:p>
    <w:p>
      <w:pPr>
        <w:pStyle w:val="null3"/>
        <w:ind w:firstLine="480"/>
        <w:jc w:val="both"/>
      </w:pPr>
      <w:r>
        <w:rPr>
          <w:sz w:val="24"/>
        </w:rPr>
        <w:t>5.现场保管</w:t>
      </w:r>
    </w:p>
    <w:p>
      <w:pPr>
        <w:pStyle w:val="null3"/>
        <w:ind w:firstLine="480"/>
        <w:jc w:val="both"/>
      </w:pPr>
      <w:r>
        <w:rPr>
          <w:sz w:val="24"/>
        </w:rPr>
        <w:t>5.1乙方负责全部货物到安装现场过程中的全部运输，包括运输过程中的中转和货到现场前的库存（如果有的话）。</w:t>
      </w:r>
    </w:p>
    <w:p>
      <w:pPr>
        <w:pStyle w:val="null3"/>
        <w:ind w:firstLine="480"/>
        <w:jc w:val="both"/>
      </w:pPr>
      <w:r>
        <w:rPr>
          <w:sz w:val="24"/>
        </w:rPr>
        <w:t>5.2乙方负责运输过程中的装卸与货物在现场存放点的就位。存放点由甲方现场圈定。</w:t>
      </w:r>
    </w:p>
    <w:p>
      <w:pPr>
        <w:pStyle w:val="null3"/>
        <w:ind w:firstLine="480"/>
        <w:jc w:val="both"/>
      </w:pPr>
      <w:r>
        <w:rPr>
          <w:sz w:val="24"/>
        </w:rPr>
        <w:t>5.3货物在现场的保管由乙方负责，直至全部货物安装、验收完毕。设备外包装箱及设备外壳要有明显的型号标记和唯一产品编号（产品编号为二维码加编号）。</w:t>
      </w:r>
    </w:p>
    <w:p>
      <w:pPr>
        <w:pStyle w:val="null3"/>
        <w:ind w:firstLine="480"/>
        <w:jc w:val="both"/>
      </w:pPr>
      <w:r>
        <w:rPr>
          <w:sz w:val="24"/>
        </w:rPr>
        <w:t>6.安装</w:t>
      </w:r>
    </w:p>
    <w:p>
      <w:pPr>
        <w:pStyle w:val="null3"/>
        <w:ind w:firstLine="480"/>
        <w:jc w:val="both"/>
      </w:pPr>
      <w:r>
        <w:rPr>
          <w:sz w:val="24"/>
        </w:rPr>
        <w:t>6.1安装是合同的一部份，由乙方完成。</w:t>
      </w:r>
    </w:p>
    <w:p>
      <w:pPr>
        <w:pStyle w:val="null3"/>
        <w:ind w:firstLine="480"/>
        <w:jc w:val="both"/>
      </w:pPr>
      <w:r>
        <w:rPr>
          <w:sz w:val="24"/>
        </w:rPr>
        <w:t>6.2乙方应设有安装负责人，负责安装工程的计划、协调、人力调配及工程质量管理等工作，还应设安装现场工程师负责技术指导，质量监督，安装现场测量，安装质量检查认可等。</w:t>
      </w:r>
    </w:p>
    <w:p>
      <w:pPr>
        <w:pStyle w:val="null3"/>
        <w:ind w:firstLine="480"/>
        <w:jc w:val="both"/>
      </w:pPr>
      <w:r>
        <w:rPr>
          <w:sz w:val="24"/>
        </w:rPr>
        <w:t>7.安装工作范围</w:t>
      </w:r>
    </w:p>
    <w:p>
      <w:pPr>
        <w:pStyle w:val="null3"/>
        <w:ind w:firstLine="480"/>
        <w:jc w:val="both"/>
      </w:pPr>
      <w:r>
        <w:rPr>
          <w:sz w:val="24"/>
        </w:rPr>
        <w:t>7.1安装工作包括货物就位、货物安装及调试在内的全部现场作业。</w:t>
      </w:r>
    </w:p>
    <w:p>
      <w:pPr>
        <w:pStyle w:val="null3"/>
        <w:ind w:firstLine="480"/>
        <w:jc w:val="both"/>
      </w:pPr>
      <w:r>
        <w:rPr>
          <w:sz w:val="24"/>
        </w:rPr>
        <w:t>7.2安装调试由乙方工程师主持完成，调试应通知甲方人员参加，应准备调试记录卡，并事前10天交一份给甲方。</w:t>
      </w:r>
    </w:p>
    <w:p>
      <w:pPr>
        <w:pStyle w:val="null3"/>
        <w:ind w:firstLine="480"/>
        <w:jc w:val="both"/>
      </w:pPr>
      <w:r>
        <w:rPr>
          <w:sz w:val="24"/>
        </w:rPr>
        <w:t>7.3本次项目安装调试的服务范围：广东省内。</w:t>
      </w:r>
    </w:p>
    <w:p>
      <w:pPr>
        <w:pStyle w:val="null3"/>
        <w:ind w:firstLine="482"/>
        <w:jc w:val="both"/>
      </w:pPr>
      <w:r>
        <w:rPr>
          <w:sz w:val="24"/>
          <w:b/>
        </w:rPr>
        <w:t>十、违约责任与赔偿损失</w:t>
      </w:r>
    </w:p>
    <w:p>
      <w:pPr>
        <w:pStyle w:val="null3"/>
        <w:ind w:firstLine="480"/>
        <w:jc w:val="both"/>
      </w:pPr>
      <w:r>
        <w:rPr>
          <w:sz w:val="24"/>
        </w:rPr>
        <w:t>1.乙方交付的货物不符合招标文件、投标文件和本合同约定的，甲方有权拒收，与此同时，甲方有权选择要求乙方继续提供符合招标文件、投标文件和本合同约定的货物；也有权选择单方即时解除本合同。如若甲方选择要求乙方继续提供符合招标文件、投标文件和本合同约定的货物，乙方不仅须向甲方支付本合同总价10%的违约金，且须继续按照本合同的约定全面履行包括供货义务在内的各项义务；如若甲方选择单方即时解除本合同，乙方不仅须向甲方支付本合同总价10%的违约金，而且须无条件向甲方退还已收取的全部款项。此外，如若乙方的该等违约行为给甲方造成损失，甲方有权另行追究乙方的赔偿责任。</w:t>
      </w:r>
    </w:p>
    <w:p>
      <w:pPr>
        <w:pStyle w:val="null3"/>
        <w:ind w:firstLine="480"/>
        <w:jc w:val="both"/>
      </w:pPr>
      <w:r>
        <w:rPr>
          <w:sz w:val="24"/>
        </w:rPr>
        <w:t>2.乙方未能按本合同规定的交货时间交付货物的，从逾期之日起每日按本合同总价3‰的数额向甲方支付违约金；逾期15天以上的，视为乙方根本性违约，甲方有权单方即时解除本合同，乙方不仅须向甲方支付本合同总价10%的违约金，而且须无条件向甲方退还已收取的全部款项。与此同时，如若乙方的该等违约行为给甲方造成损失，甲方有权另行追究乙方的赔偿责任。</w:t>
      </w:r>
    </w:p>
    <w:p>
      <w:pPr>
        <w:pStyle w:val="null3"/>
        <w:ind w:firstLine="480"/>
        <w:jc w:val="both"/>
      </w:pPr>
      <w:r>
        <w:rPr>
          <w:sz w:val="24"/>
        </w:rPr>
        <w:t>3.甲方无正当理由拒收货物，甲方向乙方偿付本合同总价10%的违约金；甲方无正当理由逾期未按政府采购支付流程办理付款申请手续的，则每日按欠付款项的万分之叁向乙方偿付违约金。实际付款到账时间以政府采购支付时间为准。</w:t>
      </w:r>
    </w:p>
    <w:p>
      <w:pPr>
        <w:pStyle w:val="null3"/>
        <w:ind w:firstLine="480"/>
        <w:jc w:val="both"/>
      </w:pPr>
      <w:r>
        <w:rPr>
          <w:sz w:val="24"/>
        </w:rPr>
        <w:t>4.乙方如没有按合同规定履行售后服务（“三包”）承诺，甲方可委托任何第三方进行修复或另行购买相同或相似型号、品质的货物，由此产生的一切费用均由乙方支付，此外，如若乙方的该等违约行为给甲方造成损失，甲方有权另行追究乙方的赔偿责任。</w:t>
      </w:r>
    </w:p>
    <w:p>
      <w:pPr>
        <w:pStyle w:val="null3"/>
        <w:ind w:firstLine="480"/>
        <w:jc w:val="both"/>
      </w:pPr>
      <w:r>
        <w:rPr>
          <w:sz w:val="24"/>
        </w:rPr>
        <w:t>5.任何一方违约，除按本合同约定承担违约责任以外，还应承担守约方为维护自身合法权益所产生的合理费用，包括但不限于诉讼费、律师费、差旅费、公证费、鉴定费、评估费、保全费、保全保险费等。</w:t>
      </w:r>
    </w:p>
    <w:p>
      <w:pPr>
        <w:pStyle w:val="null3"/>
        <w:ind w:firstLine="480"/>
        <w:jc w:val="both"/>
      </w:pPr>
      <w:r>
        <w:rPr>
          <w:sz w:val="24"/>
        </w:rPr>
        <w:t>6.其它违约责任按《中华人民共和国民法典》处理。</w:t>
      </w:r>
    </w:p>
    <w:p>
      <w:pPr>
        <w:pStyle w:val="null3"/>
        <w:ind w:firstLine="482"/>
        <w:jc w:val="both"/>
      </w:pPr>
      <w:r>
        <w:rPr>
          <w:sz w:val="24"/>
          <w:b/>
        </w:rPr>
        <w:t>十一、争议的解决</w:t>
      </w:r>
    </w:p>
    <w:p>
      <w:pPr>
        <w:pStyle w:val="null3"/>
        <w:ind w:firstLine="480"/>
        <w:jc w:val="both"/>
      </w:pPr>
      <w:r>
        <w:rPr>
          <w:sz w:val="24"/>
        </w:rPr>
        <w:t>合同执行过程中发生的任何争议，如双方不能通过友好协商解决，任何一方均有权向甲方所在地人民法院提起诉讼解决。</w:t>
      </w:r>
    </w:p>
    <w:p>
      <w:pPr>
        <w:pStyle w:val="null3"/>
        <w:ind w:firstLine="482"/>
        <w:jc w:val="both"/>
      </w:pPr>
      <w:r>
        <w:rPr>
          <w:sz w:val="24"/>
          <w:b/>
        </w:rPr>
        <w:t>十二、不可抗力</w:t>
      </w:r>
    </w:p>
    <w:p>
      <w:pPr>
        <w:pStyle w:val="null3"/>
        <w:ind w:firstLine="480"/>
        <w:jc w:val="both"/>
      </w:pPr>
      <w:r>
        <w:rPr>
          <w:sz w:val="24"/>
        </w:rPr>
        <w:t>任何一方由于不可抗力[前述不可抗力指不能预见、不能避免且无法克服的客观情况：如法律、法规、政策的变更，政府行为，自然灾害(如洪水、地震、火灾、海啸、台风等)以及战争、动乱、瘟疫等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十三、税费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十四、其它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rPr>
        <w:t>5.乙方承诺完全遵守《中华人民共和国劳动合同法》有关规定和《中华人民共和国妇女权益保障法》中关于'劳动和社会保障权益’的有关要求。</w:t>
      </w:r>
    </w:p>
    <w:p>
      <w:pPr>
        <w:pStyle w:val="null3"/>
        <w:ind w:firstLine="482"/>
        <w:jc w:val="both"/>
      </w:pPr>
      <w:r>
        <w:rPr>
          <w:sz w:val="24"/>
          <w:b/>
        </w:rPr>
        <w:t>十五、合同生效</w:t>
      </w:r>
    </w:p>
    <w:p>
      <w:pPr>
        <w:pStyle w:val="null3"/>
        <w:ind w:firstLine="480"/>
        <w:jc w:val="both"/>
      </w:pPr>
      <w:r>
        <w:rPr>
          <w:sz w:val="24"/>
        </w:rPr>
        <w:t>1.本合同自甲、乙双方法定代表人或其授权代表签字盖章之日即予生效。</w:t>
      </w:r>
    </w:p>
    <w:p>
      <w:pPr>
        <w:pStyle w:val="null3"/>
        <w:ind w:firstLine="480"/>
        <w:jc w:val="both"/>
      </w:pPr>
      <w:r>
        <w:rPr>
          <w:sz w:val="24"/>
        </w:rPr>
        <w:t>2.合同一式</w:t>
      </w:r>
      <w:r>
        <w:rPr>
          <w:sz w:val="24"/>
          <w:u w:val="single"/>
        </w:rPr>
        <w:t xml:space="preserve">    </w:t>
      </w:r>
      <w:r>
        <w:rPr>
          <w:sz w:val="24"/>
        </w:rPr>
        <w:t>份，具有同等法律效力；甲方执</w:t>
      </w:r>
      <w:r>
        <w:rPr>
          <w:sz w:val="24"/>
          <w:u w:val="single"/>
        </w:rPr>
        <w:t xml:space="preserve">    </w:t>
      </w:r>
      <w:r>
        <w:rPr>
          <w:sz w:val="24"/>
        </w:rPr>
        <w:t>份，乙方执</w:t>
      </w:r>
      <w:r>
        <w:rPr>
          <w:sz w:val="24"/>
          <w:u w:val="single"/>
        </w:rPr>
        <w:t xml:space="preserve">    </w:t>
      </w:r>
      <w:r>
        <w:rPr>
          <w:sz w:val="24"/>
        </w:rPr>
        <w:t>份，采购代理机构执</w:t>
      </w:r>
      <w:r>
        <w:rPr>
          <w:sz w:val="24"/>
          <w:u w:val="single"/>
        </w:rPr>
        <w:t>壹</w:t>
      </w:r>
      <w:r>
        <w:rPr>
          <w:sz w:val="24"/>
        </w:rPr>
        <w:t>份。</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b/>
        </w:rPr>
        <w:t>甲方（盖章）：                                 乙方（盖章）：</w:t>
      </w:r>
    </w:p>
    <w:p>
      <w:pPr>
        <w:pStyle w:val="null3"/>
        <w:ind w:firstLine="480"/>
        <w:jc w:val="both"/>
      </w:pPr>
      <w:r>
        <w:rPr>
          <w:sz w:val="24"/>
        </w:rPr>
        <w:t>法定代表人（或授权代表）：                 法定代表人（或授权代表）：</w:t>
      </w:r>
    </w:p>
    <w:p>
      <w:pPr>
        <w:pStyle w:val="null3"/>
        <w:ind w:firstLine="480"/>
        <w:jc w:val="both"/>
      </w:pPr>
      <w:r>
        <w:rPr>
          <w:sz w:val="24"/>
        </w:rPr>
        <w:t>签定地点：</w:t>
      </w:r>
    </w:p>
    <w:p>
      <w:pPr>
        <w:pStyle w:val="null3"/>
        <w:ind w:firstLine="480"/>
        <w:jc w:val="both"/>
      </w:pPr>
      <w:r>
        <w:rPr>
          <w:sz w:val="24"/>
        </w:rPr>
        <w:t>签定日期：   年    月    日                      签定日期：</w:t>
      </w:r>
      <w:r>
        <w:rPr>
          <w:sz w:val="24"/>
        </w:rPr>
        <w:t xml:space="preserve">   年    月    日</w:t>
      </w:r>
    </w:p>
    <w:p>
      <w:pPr>
        <w:pStyle w:val="null3"/>
        <w:ind w:firstLine="480"/>
        <w:jc w:val="both"/>
      </w:pPr>
      <w:r>
        <w:rPr>
          <w:sz w:val="24"/>
        </w:rPr>
        <w:t xml:space="preserve">                                                           开户名称：</w:t>
      </w:r>
    </w:p>
    <w:p>
      <w:pPr>
        <w:pStyle w:val="null3"/>
        <w:ind w:firstLine="480"/>
        <w:jc w:val="both"/>
      </w:pPr>
      <w:r>
        <w:rPr>
          <w:sz w:val="24"/>
        </w:rPr>
        <w:t xml:space="preserve">                                                            </w:t>
      </w:r>
      <w:r>
        <w:rPr>
          <w:sz w:val="24"/>
        </w:rPr>
        <w:t>银行账号：</w:t>
      </w:r>
    </w:p>
    <w:p>
      <w:pPr>
        <w:pStyle w:val="null3"/>
        <w:ind w:firstLine="480"/>
        <w:jc w:val="both"/>
      </w:pPr>
      <w:r>
        <w:rPr>
          <w:sz w:val="24"/>
        </w:rPr>
        <w:t xml:space="preserve">                                                            </w:t>
      </w: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440001-2025-28774</w:t>
      </w:r>
    </w:p>
    <w:p>
      <w:pPr>
        <w:pStyle w:val="null3"/>
        <w:jc w:val="center"/>
        <w:outlineLvl w:val="3"/>
      </w:pPr>
      <w:r>
        <w:rPr>
          <w:sz w:val="24"/>
          <w:b/>
        </w:rPr>
        <w:t>采购项目编号：</w:t>
      </w:r>
      <w:r>
        <w:rPr>
          <w:sz w:val="24"/>
          <w:b/>
        </w:rPr>
        <w:t>GZCQC2500HG05010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2025年2200台安卓终端机采购项目</w:t>
      </w:r>
      <w:r>
        <w:rPr>
          <w:u w:val="single"/>
        </w:rPr>
        <w:t>”</w:t>
      </w:r>
      <w:r>
        <w:rPr/>
        <w:t>项目的招标[采购项目编号为：</w:t>
      </w:r>
      <w:r>
        <w:rPr>
          <w:u w:val="single"/>
        </w:rPr>
        <w:t>GZCQC2500HG05010</w:t>
      </w:r>
      <w:r>
        <w:rPr/>
        <w:t>]，我方愿参与投标。</w:t>
      </w:r>
    </w:p>
    <w:p>
      <w:pPr>
        <w:pStyle w:val="null3"/>
        <w:ind w:firstLine="480"/>
      </w:pPr>
      <w:r>
        <w:rPr/>
        <w:t>我方确认收到贵方提供的</w:t>
      </w:r>
      <w:r>
        <w:rPr>
          <w:u w:val="single"/>
        </w:rPr>
        <w:t>“</w:t>
      </w:r>
      <w:r>
        <w:rPr>
          <w:u w:val="single"/>
        </w:rPr>
        <w:t>2025年2200台安卓终端机采购项目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2025年2200台安卓终端机采购项目</w:t>
      </w:r>
      <w:r>
        <w:rPr/>
        <w:t>”项目采购[采购项目编号为</w:t>
      </w:r>
      <w:r>
        <w:rPr/>
        <w:t>GZCQC2500HG05010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2025年2200台安卓终端机采购项目</w:t>
      </w:r>
      <w:r>
        <w:rPr/>
        <w:t>招标中获中标（采购项目编号：</w:t>
      </w:r>
      <w:r>
        <w:rPr/>
        <w:t>GZCQC2500HG05010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2025年2200台安卓终端机采购项目</w:t>
      </w:r>
      <w:r>
        <w:rPr/>
        <w:t>”项目（采购项目编号：</w:t>
      </w:r>
      <w:r>
        <w:rPr/>
        <w:t>GZCQC2500HG05010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