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440118-2025-01053</w:t>
      </w:r>
    </w:p>
    <w:p>
      <w:pPr>
        <w:pStyle w:val="null3"/>
        <w:jc w:val="center"/>
        <w:outlineLvl w:val="3"/>
      </w:pPr>
      <w:r>
        <w:rPr>
          <w:sz w:val="24"/>
          <w:b/>
        </w:rPr>
        <w:t>采购项目编号：</w:t>
      </w:r>
      <w:r>
        <w:rPr>
          <w:sz w:val="24"/>
          <w:b/>
        </w:rPr>
        <w:t>GZCQC2500FG02025</w:t>
      </w:r>
    </w:p>
    <w:p>
      <w:pPr>
        <w:pStyle w:val="null3"/>
        <w:jc w:val="center"/>
        <w:outlineLvl w:val="3"/>
      </w:pPr>
      <w:r>
        <w:rPr>
          <w:sz w:val="24"/>
          <w:b/>
        </w:rPr>
        <w:t>项目名称：</w:t>
      </w:r>
      <w:r>
        <w:rPr>
          <w:sz w:val="24"/>
          <w:b/>
        </w:rPr>
        <w:t>2025年-2027年广州市公安局增城区分局交通违法和事故车辆拖吊保管服务项目</w:t>
      </w:r>
    </w:p>
    <w:p>
      <w:pPr>
        <w:pStyle w:val="null3"/>
        <w:jc w:val="center"/>
        <w:outlineLvl w:val="3"/>
      </w:pPr>
      <w:r>
        <w:rPr>
          <w:sz w:val="24"/>
          <w:b/>
        </w:rPr>
        <w:t>采购人：</w:t>
      </w:r>
      <w:r>
        <w:rPr>
          <w:sz w:val="24"/>
          <w:b/>
        </w:rPr>
        <w:t>广州市公安局增城区分局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广州市公安局增城区分局</w:t>
      </w:r>
      <w:r>
        <w:rPr/>
        <w:t>的委托，采用</w:t>
      </w:r>
      <w:r>
        <w:rPr/>
        <w:t>公开招标</w:t>
      </w:r>
      <w:r>
        <w:rPr/>
        <w:t>方式组织采购</w:t>
      </w:r>
      <w:r>
        <w:rPr/>
        <w:t>2025年-2027年广州市公安局增城区分局交通违法和事故车辆拖吊保管服务项目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2025年-2027年广州市公安局增城区分局交通违法和事故车辆拖吊保管服务项目</w:t>
      </w:r>
    </w:p>
    <w:p>
      <w:pPr>
        <w:pStyle w:val="null3"/>
        <w:ind w:firstLine="480"/>
      </w:pPr>
      <w:r>
        <w:rPr/>
        <w:t>采购计划编号：</w:t>
      </w:r>
      <w:r>
        <w:rPr/>
        <w:t>440118-2025-01053</w:t>
      </w:r>
    </w:p>
    <w:p>
      <w:pPr>
        <w:pStyle w:val="null3"/>
        <w:ind w:firstLine="480"/>
      </w:pPr>
      <w:r>
        <w:rPr/>
        <w:t>采购项目编号：</w:t>
      </w:r>
      <w:r>
        <w:rPr/>
        <w:t>GZCQC2500FG02025</w:t>
      </w:r>
    </w:p>
    <w:p>
      <w:pPr>
        <w:pStyle w:val="null3"/>
        <w:ind w:firstLine="480"/>
      </w:pPr>
      <w:r>
        <w:rPr/>
        <w:t>采购方式：</w:t>
      </w:r>
      <w:r>
        <w:rPr/>
        <w:t>公开招标</w:t>
      </w:r>
    </w:p>
    <w:p>
      <w:pPr>
        <w:pStyle w:val="null3"/>
        <w:ind w:firstLine="480"/>
      </w:pPr>
      <w:r>
        <w:rPr/>
        <w:t>预算金额：</w:t>
      </w:r>
      <w:r>
        <w:rPr/>
        <w:t>14,117,500.00</w:t>
      </w:r>
      <w:r>
        <w:rPr/>
        <w:t>元</w:t>
      </w:r>
    </w:p>
    <w:p>
      <w:pPr>
        <w:pStyle w:val="null3"/>
        <w:outlineLvl w:val="3"/>
      </w:pPr>
      <w:r>
        <w:rPr>
          <w:sz w:val="24"/>
          <w:b/>
        </w:rPr>
        <w:t>2.项目内容及需求情况（采购项目技术规格、参数及要求）</w:t>
      </w:r>
    </w:p>
    <w:p>
      <w:pPr>
        <w:pStyle w:val="null3"/>
      </w:pPr>
      <w:r>
        <w:rPr/>
        <w:t>采购包1(拖吊车及交通清障服务):</w:t>
      </w:r>
    </w:p>
    <w:p>
      <w:pPr>
        <w:pStyle w:val="null3"/>
      </w:pPr>
      <w:r>
        <w:rPr/>
        <w:t>采购包预算金额：5,670,000.00元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其他道路运输服务</w:t>
            </w:r>
          </w:p>
        </w:tc>
        <w:tc>
          <w:tcPr>
            <w:tcW w:type="dxa" w:w="2052"/>
          </w:tcPr>
          <w:p>
            <w:pPr>
              <w:pStyle w:val="null3"/>
            </w:pPr>
            <w:r>
              <w:rPr/>
              <w:t>拖吊车及交通清障服务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5,670,000.00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合同履行期限：合同签订后24个月，合同服务期到期或本采购包的预算金额用完时服务合同终止。</w:t>
      </w:r>
    </w:p>
    <w:p>
      <w:pPr>
        <w:pStyle w:val="null3"/>
      </w:pPr>
      <w:r>
        <w:rPr/>
        <w:t>采购包2(证据保存车辆保管服务):</w:t>
      </w:r>
    </w:p>
    <w:p>
      <w:pPr>
        <w:pStyle w:val="null3"/>
      </w:pPr>
      <w:r>
        <w:rPr/>
        <w:t>采购包预算金额：8,447,500.00元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其他交通运输、仓储服务</w:t>
            </w:r>
          </w:p>
        </w:tc>
        <w:tc>
          <w:tcPr>
            <w:tcW w:type="dxa" w:w="2052"/>
          </w:tcPr>
          <w:p>
            <w:pPr>
              <w:pStyle w:val="null3"/>
            </w:pPr>
            <w:r>
              <w:rPr/>
              <w:t>证据保存车辆保管服务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8,447,500.00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合同履行期限：合同签订后24个月，合同服务期到期或本采购包的预算金额用完时服务合同终止。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采购包1（拖吊车及交通清障服务）：</w:t>
      </w:r>
      <w:r>
        <w:rPr/>
        <w:t>本项目属于专门面向中小企业采购的项目。供应商须符合本项目采购标的对应行业（交通运输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采购包2（证据保存车辆保管服务）：</w:t>
      </w:r>
      <w:r>
        <w:rPr/>
        <w:t>本项目属于专门面向中小企业采购的项目。供应商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采购包1（拖吊车及交通清障服务）：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采购包2（证据保存车辆保管服务）：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广州市公安局增城区分局</w:t>
      </w:r>
    </w:p>
    <w:p>
      <w:pPr>
        <w:pStyle w:val="null3"/>
        <w:ind w:firstLine="480"/>
      </w:pPr>
      <w:r>
        <w:rPr/>
        <w:t xml:space="preserve"> 地址：</w:t>
      </w:r>
      <w:r>
        <w:rPr/>
        <w:t>广州市增城区府佑路99号</w:t>
      </w:r>
    </w:p>
    <w:p>
      <w:pPr>
        <w:pStyle w:val="null3"/>
        <w:ind w:firstLine="480"/>
      </w:pPr>
      <w:r>
        <w:rPr/>
        <w:t xml:space="preserve"> 联系方式：</w:t>
      </w:r>
      <w:r>
        <w:rPr/>
        <w:t>020-32858033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采购包1：拖吊车及交通清障服务</w:t>
      </w:r>
    </w:p>
    <w:p>
      <w:pPr>
        <w:pStyle w:val="null3"/>
        <w:ind w:firstLine="422"/>
      </w:pPr>
      <w:r>
        <w:rPr>
          <w:sz w:val="24"/>
          <w:b/>
        </w:rPr>
        <w:t>一、项目概况：</w:t>
      </w:r>
    </w:p>
    <w:p>
      <w:pPr>
        <w:pStyle w:val="null3"/>
        <w:ind w:firstLine="420"/>
      </w:pPr>
      <w:r>
        <w:rPr>
          <w:sz w:val="24"/>
          <w:color w:val="000000"/>
        </w:rPr>
        <w:t>项目属性：服务类。</w:t>
      </w:r>
    </w:p>
    <w:p>
      <w:pPr>
        <w:pStyle w:val="null3"/>
        <w:ind w:firstLine="420"/>
      </w:pPr>
      <w:r>
        <w:rPr>
          <w:sz w:val="24"/>
          <w:color w:val="000000"/>
        </w:rPr>
        <w:t>品目类别：其他道路运输服务。</w:t>
      </w:r>
    </w:p>
    <w:p>
      <w:pPr>
        <w:pStyle w:val="null3"/>
        <w:ind w:firstLine="420"/>
      </w:pPr>
      <w:r>
        <w:rPr>
          <w:sz w:val="24"/>
          <w:color w:val="000000"/>
        </w:rPr>
        <w:t>本项目属于专门面向中小企业采购的项目。供应商须符合本项目采购标的对应行业（交通运输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ind w:firstLine="422"/>
      </w:pPr>
      <w:r>
        <w:rPr>
          <w:sz w:val="24"/>
          <w:b/>
          <w:color w:val="000000"/>
        </w:rPr>
        <w:t>（一）采购内容</w:t>
      </w:r>
    </w:p>
    <w:p>
      <w:pPr>
        <w:pStyle w:val="null3"/>
        <w:ind w:firstLine="420"/>
      </w:pPr>
      <w:r>
        <w:rPr>
          <w:sz w:val="24"/>
          <w:color w:val="000000"/>
        </w:rPr>
        <w:t>确定中标人为采购人提供拖吊车及交通清障服务。该服务是指广州市公安局增城区分局交警大队（暨广州市公安局交通警察支队增城大队，下称“增城交警大队”）管辖道路范围内的各类拖吊车及交通清障服务，包括：交通违法车辆、事故车辆的拖吊，交通高峰时段、警保卫或重大活动期间、交通整治、突发事件处置的备勤，道路上妨碍交通的车辆或障碍物的清理，车辆因证据保存转换停车场（以下简称“转场”）以及其他涉及交通管理工作需要（以下简称“拖吊作业”）。</w:t>
      </w:r>
    </w:p>
    <w:p>
      <w:pPr>
        <w:pStyle w:val="null3"/>
        <w:ind w:firstLine="420"/>
      </w:pPr>
      <w:r>
        <w:rPr>
          <w:sz w:val="24"/>
          <w:color w:val="000000"/>
        </w:rPr>
        <w:t>投标人应根据项目情况编制服务方案（①拖吊服务方案(包括但不限于服务内容、流程、道路救援作业规范、时效等)；②拖吊车辆、交通清障辅助设备的配置及调度方案；③作业人员的配置及管理方案；④针对本项目的各项管理目标及制度等）、安全及质量保证措施（①安全生产责任制方案（包括但不限于安全目标、作业人员安全管理规定、拖吊作业安全作业规定、保险等）；②质量保证措施（包括但不限于质量保障承诺、作业人员技能培训、作业设备的维护管理等））、服务响应时间的保障措施（包括拖车到场时限、现场清理作业时限、现场作业完成后入场时限的内容）、临时性、阶段性工作及突发事件预案（包括各类突发事件应急处置机制、临时性阶段性工作预案、重大敏感交通事故现场处置预案如协助采购人对重大敏感交通事故现场伤员、死者临时围蔽、转移）等内容。</w:t>
      </w:r>
    </w:p>
    <w:p>
      <w:pPr>
        <w:pStyle w:val="null3"/>
        <w:ind w:firstLine="422"/>
      </w:pPr>
      <w:r>
        <w:rPr>
          <w:sz w:val="24"/>
          <w:b/>
          <w:color w:val="000000"/>
        </w:rPr>
        <w:t>（二）服务范围</w:t>
      </w:r>
    </w:p>
    <w:p>
      <w:pPr>
        <w:pStyle w:val="null3"/>
        <w:ind w:firstLine="422"/>
        <w:jc w:val="both"/>
      </w:pPr>
      <w:r>
        <w:rPr>
          <w:sz w:val="24"/>
          <w:b/>
          <w:color w:val="000000"/>
        </w:rPr>
        <w:t>本项目服务范围为增城交警大队下属11个中队，各中队划分如下：</w:t>
      </w:r>
    </w:p>
    <w:tbl>
      <w:tblPr>
        <w:tblW w:w="0" w:type="auto"/>
        <w:tblBorders>
          <w:top w:val="none" w:color="000000" w:sz="4"/>
          <w:left w:val="none" w:color="000000" w:sz="4"/>
          <w:bottom w:val="none" w:color="000000" w:sz="4"/>
          <w:right w:val="none" w:color="000000" w:sz="4"/>
          <w:insideH w:val="none"/>
          <w:insideV w:val="none"/>
        </w:tblBorders>
      </w:tblPr>
      <w:tblGrid>
        <w:gridCol w:w="1429"/>
        <w:gridCol w:w="2949"/>
        <w:gridCol w:w="3927"/>
      </w:tblGrid>
      <w:tr>
        <w:tc>
          <w:tcPr>
            <w:tcW w:type="dxa" w:w="142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color w:val="000000"/>
              </w:rPr>
              <w:t>区域</w:t>
            </w:r>
          </w:p>
        </w:tc>
        <w:tc>
          <w:tcPr>
            <w:tcW w:type="dxa" w:w="2949"/>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color w:val="000000"/>
              </w:rPr>
              <w:t>服务中队</w:t>
            </w:r>
          </w:p>
        </w:tc>
        <w:tc>
          <w:tcPr>
            <w:tcW w:type="dxa" w:w="3927"/>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color w:val="000000"/>
              </w:rPr>
              <w:t>备注</w:t>
            </w:r>
          </w:p>
        </w:tc>
      </w:tr>
      <w:tr>
        <w:tc>
          <w:tcPr>
            <w:tcW w:type="dxa" w:w="1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增城区</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交警一中队</w:t>
            </w:r>
          </w:p>
        </w:tc>
        <w:tc>
          <w:tcPr>
            <w:tcW w:type="dxa" w:w="3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、中标人必须同时服务增城区内11个中队。</w:t>
            </w:r>
          </w:p>
          <w:p>
            <w:pPr>
              <w:pStyle w:val="null3"/>
            </w:pPr>
            <w:r>
              <w:rPr>
                <w:sz w:val="24"/>
                <w:color w:val="000000"/>
              </w:rPr>
              <w:t>2</w:t>
            </w:r>
            <w:r>
              <w:rPr>
                <w:sz w:val="24"/>
                <w:color w:val="000000"/>
              </w:rPr>
              <w:t>、各中队服务范围以各中队辖区为准，中队辖区出现调整的，服务范围以调整后的新辖区为准，如出现其变化则由采购人确定服务范围。</w:t>
            </w:r>
          </w:p>
          <w:p>
            <w:pPr>
              <w:pStyle w:val="null3"/>
            </w:pPr>
            <w:r>
              <w:rPr>
                <w:sz w:val="24"/>
                <w:color w:val="000000"/>
              </w:rPr>
              <w:t>3</w:t>
            </w:r>
            <w:r>
              <w:rPr>
                <w:sz w:val="24"/>
                <w:color w:val="000000"/>
              </w:rPr>
              <w:t>、国家法律法规或上级管理部门有新规定的从其规定。</w:t>
            </w: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交警二中队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交警三中队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交警四中队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交警五中队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交警六中队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交警七中队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交警八中队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交警九中队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事故中队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侦查中队（分控中心）</w:t>
            </w:r>
          </w:p>
        </w:tc>
        <w:tc>
          <w:tcPr>
            <w:tcW w:type="dxa" w:w="3927"/>
            <w:vMerge/>
            <w:tcBorders>
              <w:top w:val="none" w:color="000000" w:sz="4"/>
              <w:left w:val="none" w:color="000000" w:sz="4"/>
              <w:bottom w:val="single" w:color="000000" w:sz="4"/>
              <w:right w:val="single" w:color="000000" w:sz="4"/>
            </w:tcBorders>
          </w:tcPr>
          <w:p/>
        </w:tc>
      </w:tr>
    </w:tbl>
    <w:p>
      <w:pPr>
        <w:pStyle w:val="null3"/>
        <w:ind w:firstLine="422"/>
        <w:jc w:val="both"/>
      </w:pPr>
      <w:r>
        <w:rPr>
          <w:sz w:val="24"/>
          <w:b/>
        </w:rPr>
        <w:t>（三）预算及服务期</w:t>
      </w:r>
    </w:p>
    <w:p>
      <w:pPr>
        <w:pStyle w:val="null3"/>
        <w:ind w:firstLine="420"/>
        <w:jc w:val="both"/>
      </w:pPr>
      <w:r>
        <w:rPr>
          <w:sz w:val="24"/>
        </w:rPr>
        <w:t xml:space="preserve"> 1.项目总预算为人民币567万元（即每年283.5万元，合同期2年）。预算金额包括但不限于完成本项目所需的拖吊服务、交通保障服务、其他清障服务、空驶等服务所需的费用（含拖吊作业所需的各种车辆及设备的费用、作业人员的费用、税费等）。</w:t>
      </w:r>
    </w:p>
    <w:p>
      <w:pPr>
        <w:pStyle w:val="null3"/>
        <w:ind w:firstLine="420"/>
        <w:jc w:val="both"/>
      </w:pPr>
      <w:r>
        <w:rPr>
          <w:sz w:val="24"/>
        </w:rPr>
        <w:t>2.服务期限：合同签订后24个月，合同服务期到期或本采购包的预算金额用完时服务合同终止。</w:t>
      </w:r>
    </w:p>
    <w:p>
      <w:pPr>
        <w:pStyle w:val="null3"/>
        <w:ind w:firstLine="422"/>
        <w:jc w:val="both"/>
      </w:pPr>
      <w:r>
        <w:rPr>
          <w:sz w:val="24"/>
          <w:b/>
        </w:rPr>
        <w:t>（四）近四年的拖吊车数量</w:t>
      </w:r>
    </w:p>
    <w:p>
      <w:pPr>
        <w:pStyle w:val="null3"/>
        <w:ind w:firstLine="420"/>
        <w:jc w:val="both"/>
      </w:pPr>
      <w:r>
        <w:rPr>
          <w:sz w:val="24"/>
        </w:rPr>
        <w:t>2021年年度月平均拖吊446辆汽车和2821辆五类车，2022年年度月平均拖吊402辆汽车和1013辆五类车，2023年平均每月拖吊汽车415辆、五类车1239辆；2024年平均每月拖吊汽车390辆、五类车838辆。说明：投标人进行投标报价时，须充分考虑，一经中标，所投报价在服务期内固定不变，采购人不因物价水平、最低工资标准等因素的变化而调整，请投标人自行考虑响应风险。</w:t>
      </w:r>
    </w:p>
    <w:p>
      <w:pPr>
        <w:pStyle w:val="null3"/>
        <w:ind w:firstLine="422"/>
        <w:jc w:val="both"/>
      </w:pPr>
      <w:r>
        <w:rPr>
          <w:sz w:val="24"/>
          <w:b/>
        </w:rPr>
        <w:t>二、服务要求</w:t>
      </w:r>
    </w:p>
    <w:p>
      <w:pPr>
        <w:pStyle w:val="null3"/>
        <w:ind w:firstLine="422"/>
        <w:jc w:val="both"/>
      </w:pPr>
      <w:r>
        <w:rPr>
          <w:sz w:val="24"/>
          <w:b/>
        </w:rPr>
        <w:t>（一）一般服务要求</w:t>
      </w:r>
    </w:p>
    <w:p>
      <w:pPr>
        <w:pStyle w:val="null3"/>
        <w:ind w:firstLine="422"/>
        <w:jc w:val="both"/>
      </w:pPr>
      <w:r>
        <w:rPr>
          <w:sz w:val="24"/>
          <w:b/>
        </w:rPr>
        <w:t>1.拖吊车辆数量要求</w:t>
      </w:r>
    </w:p>
    <w:p>
      <w:pPr>
        <w:pStyle w:val="null3"/>
        <w:ind w:firstLine="422"/>
        <w:jc w:val="both"/>
      </w:pPr>
      <w:r>
        <w:rPr>
          <w:sz w:val="24"/>
          <w:b/>
        </w:rPr>
        <w:t>（1）拖吊车辆总数为不少于26辆（根据以往用车情况的最低值设置，投标人可提供更多的车辆供采购人使用），具体车型和数量要求如下：</w:t>
      </w:r>
    </w:p>
    <w:p>
      <w:pPr>
        <w:pStyle w:val="null3"/>
        <w:ind w:firstLine="420"/>
        <w:jc w:val="both"/>
      </w:pPr>
      <w:r>
        <w:rPr>
          <w:sz w:val="24"/>
        </w:rPr>
        <w:t>1）1辆，50吨重型专项作业车（吊车）；</w:t>
      </w:r>
    </w:p>
    <w:p>
      <w:pPr>
        <w:pStyle w:val="null3"/>
        <w:ind w:firstLine="420"/>
        <w:jc w:val="both"/>
      </w:pPr>
      <w:r>
        <w:rPr>
          <w:sz w:val="24"/>
        </w:rPr>
        <w:t>2）1辆，25吨重型专项作业车（吊车）；</w:t>
      </w:r>
    </w:p>
    <w:p>
      <w:pPr>
        <w:pStyle w:val="null3"/>
        <w:ind w:firstLine="420"/>
        <w:jc w:val="both"/>
      </w:pPr>
      <w:r>
        <w:rPr>
          <w:sz w:val="24"/>
        </w:rPr>
        <w:t>3）1辆，25吨重型专项作业车（拖车或平板）；</w:t>
      </w:r>
    </w:p>
    <w:p>
      <w:pPr>
        <w:pStyle w:val="null3"/>
        <w:ind w:firstLine="420"/>
        <w:jc w:val="both"/>
      </w:pPr>
      <w:r>
        <w:rPr>
          <w:sz w:val="24"/>
        </w:rPr>
        <w:t>4）2辆，10吨以上大中型专项作业车（拖车或平板）；</w:t>
      </w:r>
    </w:p>
    <w:p>
      <w:pPr>
        <w:pStyle w:val="null3"/>
        <w:ind w:firstLine="420"/>
        <w:jc w:val="both"/>
      </w:pPr>
      <w:r>
        <w:rPr>
          <w:sz w:val="24"/>
        </w:rPr>
        <w:t>5）1辆，5吨以上中型专项作业车（拖车或平板）；</w:t>
      </w:r>
    </w:p>
    <w:p>
      <w:pPr>
        <w:pStyle w:val="null3"/>
        <w:ind w:firstLine="420"/>
        <w:jc w:val="both"/>
      </w:pPr>
      <w:r>
        <w:rPr>
          <w:sz w:val="24"/>
        </w:rPr>
        <w:t>6）12辆，3吨中型专项作业车（拖车或平板）；</w:t>
      </w:r>
    </w:p>
    <w:p>
      <w:pPr>
        <w:pStyle w:val="null3"/>
        <w:ind w:firstLine="420"/>
        <w:jc w:val="both"/>
      </w:pPr>
      <w:r>
        <w:rPr>
          <w:sz w:val="24"/>
        </w:rPr>
        <w:t>7）8辆，5吨以上大型货车。</w:t>
      </w:r>
    </w:p>
    <w:p>
      <w:pPr>
        <w:pStyle w:val="null3"/>
        <w:ind w:firstLine="422"/>
      </w:pPr>
      <w:r>
        <w:rPr>
          <w:sz w:val="24"/>
          <w:b/>
        </w:rPr>
        <w:t>注：①</w:t>
      </w:r>
      <w:r>
        <w:rPr>
          <w:sz w:val="24"/>
          <w:b/>
        </w:rPr>
        <w:t>5吨以上大型货车主要用来运送暂扣的电动车、摩托车、残疾人车等。</w:t>
      </w:r>
    </w:p>
    <w:p>
      <w:pPr>
        <w:pStyle w:val="null3"/>
        <w:ind w:firstLine="422"/>
        <w:jc w:val="both"/>
      </w:pPr>
      <w:r>
        <w:rPr>
          <w:sz w:val="24"/>
          <w:b/>
        </w:rPr>
        <w:t>②中标人必须承诺按服务中队及中队需投入的数量要求提供足够的车辆（车辆允许租赁），以满足采购人的拖吊服务要求。自有车辆不能满足该中队要求投入的数量、需租赁的，中标人须承诺于发出中标通知书之日起15天内，向采购人提交拖吊车服务合同生效起期限为2年的车辆租赁合同原件及车辆行驶证复印件；服务期内，因车辆报废、更新等原因，经采购人批准（需书面报备），可以更换车辆（吨位不得小于原车辆）。</w:t>
      </w:r>
    </w:p>
    <w:p>
      <w:pPr>
        <w:pStyle w:val="null3"/>
        <w:ind w:firstLine="422"/>
        <w:jc w:val="both"/>
      </w:pPr>
      <w:r>
        <w:rPr>
          <w:sz w:val="24"/>
          <w:b/>
        </w:rPr>
        <w:t>③侦查中队（分控中心）负责统筹协调各中队的拖吊车辆指挥调度工作。具体的拖吊车辆车型和数量以实际工作需要为准，侦查中队（分控中心）有权根据各中队实际需要调整车型和数量的配置，中标人须配合完成。</w:t>
      </w:r>
    </w:p>
    <w:p>
      <w:pPr>
        <w:pStyle w:val="null3"/>
        <w:ind w:firstLine="422"/>
        <w:jc w:val="both"/>
      </w:pPr>
      <w:r>
        <w:rPr>
          <w:sz w:val="24"/>
          <w:b/>
        </w:rPr>
        <w:t>2.车辆状况要求</w:t>
      </w:r>
    </w:p>
    <w:p>
      <w:pPr>
        <w:pStyle w:val="null3"/>
        <w:ind w:firstLine="420"/>
        <w:jc w:val="both"/>
      </w:pPr>
      <w:r>
        <w:rPr>
          <w:sz w:val="24"/>
        </w:rPr>
        <w:t>（1）中标人提供的车辆必须具有合法、完备的证照，车辆应在年审有效期内，且车辆技术性能符合国家相关规定，不得提供报废、非法车辆参与拖吊作业，保证车况良好并配备足够、完好的交通清障辅助设备（包括枕木、消防器材、扫把、簸箕、木屑、铁铲、拖车绳、裹尸布（袋）、扳手、简易担架、毛毯、车罩、警示筒、警示带等反光标志、拖车辅助轮、千斤顶等）及通讯工具。另大中型专项作业车（含）以上车型还需增配：过风喉、消防器材、破拆工具等设备，以确保拖吊能力与通信畅通。</w:t>
      </w:r>
    </w:p>
    <w:p>
      <w:pPr>
        <w:pStyle w:val="null3"/>
        <w:ind w:firstLine="420"/>
        <w:jc w:val="both"/>
      </w:pPr>
      <w:r>
        <w:rPr>
          <w:sz w:val="24"/>
        </w:rPr>
        <w:t>（2）中标人提供的车辆必须购买相应的保险，除交强险外，还应购买保险理赔金额不少于300万的第三者责任险，且保险理赔时限在本项目服务期限内持续有效。</w:t>
      </w:r>
    </w:p>
    <w:p>
      <w:pPr>
        <w:pStyle w:val="null3"/>
        <w:ind w:firstLine="420"/>
        <w:jc w:val="both"/>
      </w:pPr>
      <w:r>
        <w:rPr>
          <w:sz w:val="24"/>
        </w:rPr>
        <w:t>（3）中标人提供的拯救车辆必须安装符合接入采购人相关管理系统要求的全球卫星定位系统终端设备（相关费用由中标人自行承担，中标人在合同服务期内需委托技术人员进行日常维护，并于项目实施前提供相应维护合同或协议），同时确保设备正常使用，还需为采购方免费提供接入端口，方便采购人实时对拖吊车辆开展监管工作。车辆定位数据须提供给采购人，并至少保存至合同服务期结束后六个月。</w:t>
      </w:r>
    </w:p>
    <w:p>
      <w:pPr>
        <w:pStyle w:val="null3"/>
        <w:ind w:firstLine="420"/>
        <w:jc w:val="both"/>
      </w:pPr>
      <w:r>
        <w:rPr>
          <w:sz w:val="24"/>
        </w:rPr>
        <w:t>（4）中标人提供的车辆必须安装行车记录仪，行车记录仪必须配备三个摄像头，满足日间、夜晚的记录要求，能清晰摄录从采购人将暂扣车辆移交给中标人起至中标人将暂扣车辆拖移至采购人指定停车场并移交完毕的整个过程，具体安装要求由采购人指定，摄录数据至少保存至合同服务期结束后六个月。</w:t>
      </w:r>
    </w:p>
    <w:p>
      <w:pPr>
        <w:pStyle w:val="null3"/>
        <w:ind w:firstLine="420"/>
        <w:jc w:val="both"/>
      </w:pPr>
      <w:r>
        <w:rPr>
          <w:sz w:val="24"/>
        </w:rPr>
        <w:t>（5）中标人提供的车辆必须统一车身颜色、喷涂中标人单位名称及投诉电话（如车辆属租赁的，中标人应在车辆明显位置标示出中标人单位名称及投诉电话）。</w:t>
      </w:r>
    </w:p>
    <w:p>
      <w:pPr>
        <w:pStyle w:val="null3"/>
        <w:ind w:firstLine="420"/>
        <w:jc w:val="both"/>
      </w:pPr>
      <w:r>
        <w:rPr>
          <w:sz w:val="24"/>
        </w:rPr>
        <w:t>（6）服务期内，中标人投入的车辆必须在有效期内，对提供服务的车辆进行维修保养、年检等，在原服务车辆不能按时到场服务的情况下，中标人须提供同车型、同吨位的备用车辆（具有合格、完备证照）替代服务，并事前征得采购人同意。</w:t>
      </w:r>
    </w:p>
    <w:p>
      <w:pPr>
        <w:pStyle w:val="null3"/>
        <w:ind w:firstLine="420"/>
        <w:jc w:val="both"/>
      </w:pPr>
      <w:r>
        <w:rPr>
          <w:sz w:val="24"/>
        </w:rPr>
        <w:t>（7）中标人提供的车辆，应具备拖吊大型客车、重型货车、新能源车（含电动公交车等特种车辆）等车辆的能力，到达现场拖吊作业的车辆必须能够承担并完成采购人指定的拖吊任务。</w:t>
      </w:r>
    </w:p>
    <w:p>
      <w:pPr>
        <w:pStyle w:val="null3"/>
        <w:ind w:firstLine="422"/>
        <w:jc w:val="both"/>
      </w:pPr>
      <w:r>
        <w:rPr>
          <w:sz w:val="24"/>
          <w:b/>
        </w:rPr>
        <w:t>3.作业人员要求</w:t>
      </w:r>
    </w:p>
    <w:p>
      <w:pPr>
        <w:pStyle w:val="null3"/>
        <w:ind w:firstLine="420"/>
        <w:jc w:val="both"/>
      </w:pPr>
      <w:r>
        <w:rPr>
          <w:sz w:val="24"/>
        </w:rPr>
        <w:t>（1）中标人作业人员需持交通运输部门核发的中华人民共和国道路运输从业人员资格证或者具备交通拖吊作业工作经验，司机必须具有对应驾驶车辆所需的驾驶证。</w:t>
      </w:r>
    </w:p>
    <w:p>
      <w:pPr>
        <w:pStyle w:val="null3"/>
        <w:ind w:firstLine="420"/>
        <w:jc w:val="both"/>
      </w:pPr>
      <w:r>
        <w:rPr>
          <w:sz w:val="24"/>
        </w:rPr>
        <w:t>（2）中标人应加强作业人员交通拖吊操作技能的培训。</w:t>
      </w:r>
    </w:p>
    <w:p>
      <w:pPr>
        <w:pStyle w:val="null3"/>
        <w:ind w:firstLine="420"/>
        <w:jc w:val="both"/>
      </w:pPr>
      <w:r>
        <w:rPr>
          <w:sz w:val="24"/>
        </w:rPr>
        <w:t>（3）中标人应加强对作业人员的普法教育、保密教育，应与每一个作业人员签订保密协议。</w:t>
      </w:r>
    </w:p>
    <w:p>
      <w:pPr>
        <w:pStyle w:val="null3"/>
        <w:ind w:firstLine="420"/>
        <w:jc w:val="both"/>
      </w:pPr>
      <w:r>
        <w:rPr>
          <w:sz w:val="24"/>
        </w:rPr>
        <w:t>（4）实施拖吊作业的每辆车，应按采购人要求配备足够数量的熟悉业务的作业人员（如参与交通整治等特殊情况时，中标人须根据采购人的要求，每台作业车辆配备1名或以上随车人员，中标人应予以满足，采购人不额外支付费用。），统一着装，按规范流程操作，听从交警的指挥。</w:t>
      </w:r>
    </w:p>
    <w:p>
      <w:pPr>
        <w:pStyle w:val="null3"/>
        <w:ind w:firstLine="420"/>
        <w:jc w:val="both"/>
      </w:pPr>
      <w:r>
        <w:rPr>
          <w:sz w:val="24"/>
        </w:rPr>
        <w:t>（5）作业人员应报采购人备案（含作业人员的身份证、资格证等资料复印件），中标人不得派出有违法犯罪记录或被采购人认定不允许进入本项目的人员。</w:t>
      </w:r>
    </w:p>
    <w:p>
      <w:pPr>
        <w:pStyle w:val="null3"/>
        <w:ind w:firstLine="420"/>
      </w:pPr>
      <w:r>
        <w:rPr>
          <w:sz w:val="24"/>
        </w:rPr>
        <w:t>（6）所配备的作业人员（含司机）数量须满足不少于26人，中标人需配备足够的作业人员（含司机）确保按时按量完成采购人下达的拖吊作业任务。</w:t>
      </w:r>
    </w:p>
    <w:p>
      <w:pPr>
        <w:pStyle w:val="null3"/>
        <w:ind w:firstLine="420"/>
      </w:pPr>
      <w:r>
        <w:rPr>
          <w:sz w:val="24"/>
        </w:rPr>
        <w:t>（7）中标人必须为拖吊车作业人员购买意外保险，并提供保险单复复印件。如作业人员因操作不当，防护不到位，造成伤亡由中标人负责。</w:t>
      </w:r>
    </w:p>
    <w:p>
      <w:pPr>
        <w:pStyle w:val="null3"/>
        <w:ind w:firstLine="420"/>
      </w:pPr>
      <w:r>
        <w:rPr>
          <w:sz w:val="24"/>
        </w:rPr>
        <w:t>（8）中标人在岗履行工作职责期间，发生自身的人身伤害、疾病、伤亡及在服务中违反国家相关法律法规或行业规范，因过失造成他人人身伤亡和财产损失的，均由中标人负责处理并承担经济和道义上的责任，采购人不承担任何责任。</w:t>
      </w:r>
    </w:p>
    <w:p>
      <w:pPr>
        <w:pStyle w:val="null3"/>
        <w:ind w:firstLine="422"/>
        <w:jc w:val="both"/>
      </w:pPr>
      <w:r>
        <w:rPr>
          <w:sz w:val="24"/>
          <w:b/>
        </w:rPr>
        <w:t>4.台账资料保管要求</w:t>
      </w:r>
    </w:p>
    <w:p>
      <w:pPr>
        <w:pStyle w:val="null3"/>
        <w:ind w:firstLine="420"/>
      </w:pPr>
      <w:r>
        <w:rPr>
          <w:sz w:val="24"/>
        </w:rPr>
        <w:t>中标人应做好各类台账资料的保管（拖吊作业单、暂扣车辆登记明细表、卫星定位轨迹等），以备核查，并至少保管至合同服务期结束后六个月。</w:t>
      </w:r>
    </w:p>
    <w:p>
      <w:pPr>
        <w:pStyle w:val="null3"/>
        <w:ind w:firstLine="422"/>
      </w:pPr>
      <w:r>
        <w:rPr>
          <w:sz w:val="24"/>
          <w:b/>
        </w:rPr>
        <w:t>（二）拖吊车辆服务要求</w:t>
      </w:r>
    </w:p>
    <w:p>
      <w:pPr>
        <w:pStyle w:val="null3"/>
        <w:ind w:firstLine="422"/>
      </w:pPr>
      <w:r>
        <w:rPr>
          <w:sz w:val="24"/>
          <w:b/>
        </w:rPr>
        <w:t>1.服务时间要求</w:t>
      </w:r>
    </w:p>
    <w:p>
      <w:pPr>
        <w:pStyle w:val="null3"/>
        <w:ind w:firstLine="420"/>
      </w:pPr>
      <w:r>
        <w:rPr>
          <w:sz w:val="24"/>
        </w:rPr>
        <w:t>中标人须全天候提供的各项拖吊服务（需提供各车场的每月值班表，明确各车场每天值班人员姓名和联系电话）。中标人接到采购人发出的拖吊指令后，要求30分钟内需到达现场实施作业，如属警保卫或整治等提前约定的，超时从约定到达时间起计。</w:t>
      </w:r>
    </w:p>
    <w:p>
      <w:pPr>
        <w:pStyle w:val="null3"/>
        <w:ind w:firstLine="422"/>
        <w:jc w:val="both"/>
      </w:pPr>
      <w:r>
        <w:rPr>
          <w:sz w:val="24"/>
          <w:b/>
        </w:rPr>
        <w:t>2.现场作业要求</w:t>
      </w:r>
    </w:p>
    <w:p>
      <w:pPr>
        <w:pStyle w:val="null3"/>
        <w:ind w:firstLine="420"/>
        <w:jc w:val="both"/>
      </w:pPr>
      <w:r>
        <w:rPr>
          <w:sz w:val="24"/>
        </w:rPr>
        <w:t>（1）中标人应按照采购人制订的拖吊车作业规范实施作业，包括对被拖吊车辆的检查和清点、按要求使用和填写统一印刷的拖车作业单，以及按规范流程进行作业等。</w:t>
      </w:r>
    </w:p>
    <w:p>
      <w:pPr>
        <w:pStyle w:val="null3"/>
        <w:ind w:firstLine="420"/>
        <w:jc w:val="both"/>
      </w:pPr>
      <w:r>
        <w:rPr>
          <w:sz w:val="24"/>
        </w:rPr>
        <w:t>（2）中标人作业人员应服从现场交警的指挥，作业过程中必须严格遵守有关法律法规关于拖吊交通违法车辆的规定，规范作业，不得影响交通秩序、损坏市政设施等。</w:t>
      </w:r>
    </w:p>
    <w:p>
      <w:pPr>
        <w:pStyle w:val="null3"/>
        <w:ind w:firstLine="420"/>
        <w:jc w:val="both"/>
      </w:pPr>
      <w:r>
        <w:rPr>
          <w:sz w:val="24"/>
        </w:rPr>
        <w:t>（3）中标人实施拖吊作业时，必须有交通警察在场并取得委托，拖车作业单应由在场民警签名确认。中标人应将被拖吊车辆的停放地点及联系方式等，通过文字标示或者其它方式告知当事人。</w:t>
      </w:r>
    </w:p>
    <w:p>
      <w:pPr>
        <w:pStyle w:val="null3"/>
        <w:ind w:firstLine="420"/>
        <w:jc w:val="both"/>
      </w:pPr>
      <w:r>
        <w:rPr>
          <w:sz w:val="24"/>
        </w:rPr>
        <w:t>（4）中标人应按照采购人规定的程序及规范处置被拖吊车辆的随车物品。未经采购人或当事人同意，中标人不得以任何形式打开被拖吊车辆的车门、玻璃窗户、发动机盖、车尾箱及油箱盖等。</w:t>
      </w:r>
    </w:p>
    <w:p>
      <w:pPr>
        <w:pStyle w:val="null3"/>
        <w:ind w:firstLine="420"/>
        <w:jc w:val="both"/>
      </w:pPr>
      <w:r>
        <w:rPr>
          <w:sz w:val="24"/>
        </w:rPr>
        <w:t>（5）一般事故应在到场后30分钟内、较大及以上事故或复杂现场在60分钟内清理完毕，时间从现场交警授权拖吊起计，至现场清理完毕并恢复交通。经现场民警或中队电台同意，清理时间可适当延长。</w:t>
      </w:r>
    </w:p>
    <w:p>
      <w:pPr>
        <w:pStyle w:val="null3"/>
        <w:ind w:firstLine="420"/>
        <w:jc w:val="both"/>
      </w:pPr>
      <w:r>
        <w:rPr>
          <w:sz w:val="24"/>
        </w:rPr>
        <w:t>（6）服务期内中标人发生的各种事故：包括治安、交通、防火等安全案件及劳资纠纷事件等，均由中标人承担相应责任；中标人人员在工作过程中，造成第三方人身或财物损失的，由中标人承担赔偿责任；因中标人人员疏忽，给采购人造成损失的，中标人应承担赔偿责任。发生以上情况中标人应立即通知采购人，协同处理。</w:t>
      </w:r>
    </w:p>
    <w:p>
      <w:pPr>
        <w:pStyle w:val="null3"/>
        <w:ind w:firstLine="420"/>
        <w:jc w:val="both"/>
      </w:pPr>
      <w:r>
        <w:rPr>
          <w:sz w:val="24"/>
        </w:rPr>
        <w:t>（7）拖吊进场后的车辆要由拖吊服务的工作人员负责将拖吊入场的车辆搬下车并按车场保管服务的工作人员指示将车辆摆放好后才算完成整个拖吊工作。</w:t>
      </w:r>
    </w:p>
    <w:p>
      <w:pPr>
        <w:pStyle w:val="null3"/>
        <w:ind w:firstLine="422"/>
        <w:jc w:val="both"/>
      </w:pPr>
      <w:r>
        <w:rPr>
          <w:sz w:val="24"/>
          <w:b/>
        </w:rPr>
        <w:t>3.跨区域服务要求</w:t>
      </w:r>
    </w:p>
    <w:p>
      <w:pPr>
        <w:pStyle w:val="null3"/>
        <w:ind w:firstLine="420"/>
        <w:jc w:val="both"/>
      </w:pPr>
      <w:r>
        <w:rPr>
          <w:sz w:val="24"/>
        </w:rPr>
        <w:t>中标人应按采购人要求提供跨服务区域的各类拖吊服务，如集中整治、车场转移等，须按采购人要求的车型、人员配备及装备出发。</w:t>
      </w:r>
    </w:p>
    <w:p>
      <w:pPr>
        <w:pStyle w:val="null3"/>
        <w:ind w:firstLine="422"/>
        <w:jc w:val="both"/>
      </w:pPr>
      <w:r>
        <w:rPr>
          <w:sz w:val="24"/>
          <w:b/>
        </w:rPr>
        <w:t>4.拖吊车辆入停车场的要求</w:t>
      </w:r>
    </w:p>
    <w:p>
      <w:pPr>
        <w:pStyle w:val="null3"/>
        <w:ind w:firstLine="420"/>
        <w:jc w:val="both"/>
      </w:pPr>
      <w:r>
        <w:rPr>
          <w:sz w:val="24"/>
        </w:rPr>
        <w:t>中标人应在暂扣车辆规定时间内（原则上4小时内），按规定路线将涉车辆拖吊至采购人指定的停车场，并按规定与停车场做好交接；如因特殊情况不能于规定时间拖吊进场的，报中队电台登记处理。因中标人违反拖吊车作业规范，导致车辆（含随车物品）进场时与扣留时登记的实际状态不符的，停车场可以拒绝接收车辆，由此造成的法律及经济责任由中标人承担。</w:t>
      </w:r>
    </w:p>
    <w:p>
      <w:pPr>
        <w:pStyle w:val="null3"/>
        <w:ind w:firstLine="422"/>
        <w:jc w:val="both"/>
      </w:pPr>
      <w:r>
        <w:rPr>
          <w:sz w:val="24"/>
          <w:b/>
        </w:rPr>
        <w:t>5.需称重车辆拖吊的要求</w:t>
      </w:r>
    </w:p>
    <w:p>
      <w:pPr>
        <w:pStyle w:val="null3"/>
        <w:ind w:firstLine="420"/>
        <w:jc w:val="both"/>
      </w:pPr>
      <w:r>
        <w:rPr>
          <w:sz w:val="24"/>
        </w:rPr>
        <w:t>如现场民警要求将涉案车辆拖移至称重点或治超点进行称重的，中标人应予以满足，并在完成称重后，再将车辆拖移至指定的停车场。如仅拖至治超点称重，按一次拖吊作业计费，如再将该涉案货车拖至治超点以外的指定停车场，则共按两次拖吊作业付费。</w:t>
      </w:r>
    </w:p>
    <w:p>
      <w:pPr>
        <w:pStyle w:val="null3"/>
        <w:ind w:firstLine="422"/>
        <w:jc w:val="both"/>
      </w:pPr>
      <w:r>
        <w:rPr>
          <w:sz w:val="24"/>
          <w:b/>
        </w:rPr>
        <w:t>6.拖吊特殊车辆的要求</w:t>
      </w:r>
    </w:p>
    <w:p>
      <w:pPr>
        <w:pStyle w:val="null3"/>
        <w:ind w:firstLine="420"/>
        <w:jc w:val="both"/>
      </w:pPr>
      <w:r>
        <w:rPr>
          <w:sz w:val="24"/>
        </w:rPr>
        <w:t>如遇特殊情况车辆（如超百吨的大型车辆）需要拖吊，供应商应积极协调提供具有处理能力的车辆进行处置，费用由中标人承担。</w:t>
      </w:r>
    </w:p>
    <w:p>
      <w:pPr>
        <w:pStyle w:val="null3"/>
        <w:ind w:firstLine="422"/>
        <w:jc w:val="both"/>
      </w:pPr>
      <w:r>
        <w:rPr>
          <w:sz w:val="24"/>
          <w:b/>
        </w:rPr>
        <w:t>7.处置重特大敏感事件的要求</w:t>
      </w:r>
    </w:p>
    <w:p>
      <w:pPr>
        <w:pStyle w:val="null3"/>
        <w:ind w:firstLine="420"/>
        <w:jc w:val="both"/>
      </w:pPr>
      <w:r>
        <w:rPr>
          <w:sz w:val="24"/>
        </w:rPr>
        <w:t>在采购人指令的重特大敏感事件中，中标人要协助对尸体、伤病员的临时转移，确保快速控制清理现场，有效控制负面影响。</w:t>
      </w:r>
    </w:p>
    <w:p>
      <w:pPr>
        <w:pStyle w:val="null3"/>
        <w:ind w:firstLine="422"/>
        <w:jc w:val="both"/>
      </w:pPr>
      <w:r>
        <w:rPr>
          <w:sz w:val="24"/>
          <w:b/>
        </w:rPr>
        <w:t>（三）交通保障备勤服务要求</w:t>
      </w:r>
    </w:p>
    <w:p>
      <w:pPr>
        <w:pStyle w:val="null3"/>
        <w:ind w:firstLine="420"/>
        <w:jc w:val="both"/>
      </w:pPr>
      <w:r>
        <w:rPr>
          <w:sz w:val="24"/>
        </w:rPr>
        <w:t>1.交通保障备勤指常态化交通高峰时段备勤、交通整治备勤、各项警保卫及大型群体性活动应急备勤，以及按采购人要求的巡逻服务。</w:t>
      </w:r>
    </w:p>
    <w:p>
      <w:pPr>
        <w:pStyle w:val="null3"/>
        <w:ind w:firstLine="420"/>
        <w:jc w:val="both"/>
      </w:pPr>
      <w:r>
        <w:rPr>
          <w:sz w:val="24"/>
        </w:rPr>
        <w:t>2.在警保卫工作中，中标人必须严守秘</w:t>
      </w:r>
      <w:r>
        <w:rPr>
          <w:sz w:val="24"/>
          <w:color w:val="FFFFFF"/>
        </w:rPr>
        <w:t>1</w:t>
      </w:r>
      <w:r>
        <w:rPr>
          <w:sz w:val="24"/>
        </w:rPr>
        <w:t>密。如中标人泄密的，采购人将同时追究中标人的法律责任。</w:t>
      </w:r>
    </w:p>
    <w:p>
      <w:pPr>
        <w:pStyle w:val="null3"/>
        <w:ind w:firstLine="420"/>
        <w:jc w:val="both"/>
      </w:pPr>
      <w:r>
        <w:rPr>
          <w:sz w:val="24"/>
        </w:rPr>
        <w:t>3.中标人对于采购人下达的指令要按时、按质完成，对于可能影响拖吊作业完成的情况要及时向采购人反映。</w:t>
      </w:r>
    </w:p>
    <w:p>
      <w:pPr>
        <w:pStyle w:val="null3"/>
        <w:ind w:firstLine="420"/>
        <w:jc w:val="both"/>
      </w:pPr>
      <w:r>
        <w:rPr>
          <w:sz w:val="24"/>
        </w:rPr>
        <w:t>4.警保卫工作备勤、交通整治备勤以及突发事件处置备勤的拯救车必须在采购人发出收勤指令后方可撤离。</w:t>
      </w:r>
    </w:p>
    <w:p>
      <w:pPr>
        <w:pStyle w:val="null3"/>
        <w:ind w:firstLine="420"/>
        <w:jc w:val="both"/>
      </w:pPr>
      <w:r>
        <w:rPr>
          <w:sz w:val="24"/>
        </w:rPr>
        <w:t>5.中标人应优先确保备勤服务，经采购人同意，可以调配提供其他服务的拯救车参与备勤工作。</w:t>
      </w:r>
    </w:p>
    <w:p>
      <w:pPr>
        <w:pStyle w:val="null3"/>
        <w:ind w:firstLine="420"/>
        <w:jc w:val="both"/>
      </w:pPr>
      <w:r>
        <w:rPr>
          <w:sz w:val="24"/>
        </w:rPr>
        <w:t>6.如备勤拯救车在待命期间执行采购人其他指令的，原则上中标人须提供其他相同功能的拯救车于20分钟内到达原车备勤点待命。</w:t>
      </w:r>
    </w:p>
    <w:p>
      <w:pPr>
        <w:pStyle w:val="null3"/>
        <w:ind w:firstLine="422"/>
        <w:jc w:val="both"/>
      </w:pPr>
      <w:r>
        <w:rPr>
          <w:sz w:val="24"/>
          <w:b/>
        </w:rPr>
        <w:t>（四）其他清障服务的要求</w:t>
      </w:r>
    </w:p>
    <w:p>
      <w:pPr>
        <w:pStyle w:val="null3"/>
        <w:ind w:firstLine="420"/>
        <w:jc w:val="both"/>
      </w:pPr>
      <w:r>
        <w:rPr>
          <w:sz w:val="24"/>
        </w:rPr>
        <w:t>1.“其他清障”指对道路上妨碍交通的车辆或障碍物的清理（如将妨碍警卫路线的违停车辆拖到不妨碍交通的位置，紧急情况下对路面余泥、杂物以及油污等的清理等），或从事采购人指定的其他涉及交通管理的工作。</w:t>
      </w:r>
    </w:p>
    <w:p>
      <w:pPr>
        <w:pStyle w:val="null3"/>
        <w:ind w:firstLine="420"/>
        <w:jc w:val="both"/>
      </w:pPr>
      <w:r>
        <w:rPr>
          <w:sz w:val="24"/>
        </w:rPr>
        <w:t>2.中标人须按采购人要求的车型、人员配备及装备出车，并准时到达现场完成作业。</w:t>
      </w:r>
    </w:p>
    <w:p>
      <w:pPr>
        <w:pStyle w:val="null3"/>
        <w:ind w:firstLine="422"/>
        <w:jc w:val="both"/>
      </w:pPr>
      <w:r>
        <w:rPr>
          <w:sz w:val="24"/>
          <w:b/>
        </w:rPr>
        <w:t>（五）关于空驶的要求</w:t>
      </w:r>
    </w:p>
    <w:p>
      <w:pPr>
        <w:pStyle w:val="null3"/>
        <w:ind w:firstLine="420"/>
        <w:jc w:val="both"/>
      </w:pPr>
      <w:r>
        <w:rPr>
          <w:sz w:val="24"/>
        </w:rPr>
        <w:t>1.空驶是指采购人向中标人发出拖吊指令，后因客观原因采购人取消拖吊指令。</w:t>
      </w:r>
    </w:p>
    <w:p>
      <w:pPr>
        <w:pStyle w:val="null3"/>
        <w:ind w:firstLine="420"/>
        <w:jc w:val="both"/>
      </w:pPr>
      <w:r>
        <w:rPr>
          <w:sz w:val="24"/>
        </w:rPr>
        <w:t>2.空驶必须同时满足以下两个条件：一是由采购人发出拖吊指令，后采购人取消拖吊指令，采购人中队电台有原始的登记记录；二是拖车公司能提供相应的定位轨迹证明根据采购人该次指令已出动拖车并已行驶3公里（含3公里）以上。</w:t>
      </w:r>
    </w:p>
    <w:p>
      <w:pPr>
        <w:pStyle w:val="null3"/>
        <w:ind w:firstLine="422"/>
        <w:jc w:val="both"/>
      </w:pPr>
      <w:r>
        <w:rPr>
          <w:sz w:val="24"/>
          <w:b/>
        </w:rPr>
        <w:t>（六）关于应用系统监管拖吊车的要求</w:t>
      </w:r>
    </w:p>
    <w:p>
      <w:pPr>
        <w:pStyle w:val="null3"/>
        <w:ind w:firstLine="420"/>
        <w:jc w:val="both"/>
      </w:pPr>
      <w:r>
        <w:rPr>
          <w:sz w:val="24"/>
        </w:rPr>
        <w:t>中标人要根据采购人开发出的涉案车辆管理系统平台对拖吊车开展日常拖吊服务，每名负责拖吊服务的司机需配备一台安卓手机并安装由采购人开发的涉案车辆管理系统，中标人必须配合使用，加强对本项目监管，按采购人要求配备相应的硬件设备、操作人员，培训相关操作人员熟练使用系统，建立信息化系统使用手册等技术资料，按采购人规定使用和管理。</w:t>
      </w:r>
    </w:p>
    <w:p>
      <w:pPr>
        <w:pStyle w:val="null3"/>
        <w:ind w:firstLine="422"/>
        <w:jc w:val="both"/>
      </w:pPr>
      <w:r>
        <w:rPr>
          <w:sz w:val="24"/>
          <w:b/>
        </w:rPr>
        <w:t>三、考评奖惩办法</w:t>
      </w:r>
    </w:p>
    <w:p>
      <w:pPr>
        <w:pStyle w:val="null3"/>
        <w:ind w:firstLine="422"/>
        <w:jc w:val="both"/>
      </w:pPr>
      <w:r>
        <w:rPr>
          <w:sz w:val="24"/>
          <w:b/>
        </w:rPr>
        <w:t>（一）考评管理要求的说明</w:t>
      </w:r>
    </w:p>
    <w:p>
      <w:pPr>
        <w:pStyle w:val="null3"/>
        <w:ind w:firstLine="420"/>
        <w:jc w:val="both"/>
      </w:pPr>
      <w:r>
        <w:rPr>
          <w:sz w:val="24"/>
        </w:rPr>
        <w:t>1.中标人在合同期间违反法律法规、《合同》及本管理办法规定的，采购人有权追究中标人的责任，且造成的损失全部由中标人负责。</w:t>
      </w:r>
    </w:p>
    <w:p>
      <w:pPr>
        <w:pStyle w:val="null3"/>
        <w:ind w:firstLine="420"/>
        <w:jc w:val="both"/>
      </w:pPr>
      <w:r>
        <w:rPr>
          <w:sz w:val="24"/>
        </w:rPr>
        <w:t>2.中标人如出现重大违规事件（如违反作业规范造成较大责任事故以上），采购人不支付当月服务费用，且由此造成的损失由中标人负责。</w:t>
      </w:r>
    </w:p>
    <w:p>
      <w:pPr>
        <w:pStyle w:val="null3"/>
        <w:ind w:firstLine="420"/>
        <w:jc w:val="both"/>
      </w:pPr>
      <w:r>
        <w:rPr>
          <w:sz w:val="24"/>
        </w:rPr>
        <w:t>3.采购人每月对中标人的服务情况进行考评考核，并按考评结果支付服务费用；考评表评分按百分制，每一个月为一个计分周期，当月得分低于60分的，视为不合格，当月服务费用不予支付。</w:t>
      </w:r>
    </w:p>
    <w:p>
      <w:pPr>
        <w:pStyle w:val="null3"/>
        <w:ind w:firstLine="420"/>
        <w:jc w:val="both"/>
      </w:pPr>
      <w:r>
        <w:rPr>
          <w:sz w:val="24"/>
        </w:rPr>
        <w:t>4.中标人服务费支付比例和月度考核情况挂钩：</w:t>
      </w:r>
    </w:p>
    <w:p>
      <w:pPr>
        <w:pStyle w:val="null3"/>
        <w:ind w:firstLine="420"/>
        <w:jc w:val="both"/>
      </w:pPr>
      <w:r>
        <w:rPr>
          <w:sz w:val="24"/>
        </w:rPr>
        <w:t>（1）当月总评＜60分的，视为不合格，当月服务费不予支付并从合同后续服务费结算中扣减10万元，如无法从合同后续服务费结算中扣减则从履约保函的保证金中扣减，且采购人可单方面解除合同；</w:t>
      </w:r>
    </w:p>
    <w:p>
      <w:pPr>
        <w:pStyle w:val="null3"/>
        <w:ind w:firstLine="420"/>
        <w:jc w:val="both"/>
      </w:pPr>
      <w:r>
        <w:rPr>
          <w:sz w:val="24"/>
        </w:rPr>
        <w:t>（2）当月总评60分或60分以上的，按总评分数支付相同比例的服务费。例如当月得分为85.2分的，则按85.2%支付当月服务费，依此类推；</w:t>
      </w:r>
    </w:p>
    <w:p>
      <w:pPr>
        <w:pStyle w:val="null3"/>
        <w:ind w:firstLine="420"/>
        <w:jc w:val="both"/>
      </w:pPr>
      <w:r>
        <w:rPr>
          <w:sz w:val="24"/>
        </w:rPr>
        <w:t>（3）当月总评100分或100分以上的，按100％支付当月服务费；</w:t>
      </w:r>
    </w:p>
    <w:p>
      <w:pPr>
        <w:pStyle w:val="null3"/>
        <w:ind w:firstLine="422"/>
        <w:jc w:val="both"/>
      </w:pPr>
      <w:r>
        <w:rPr>
          <w:sz w:val="24"/>
          <w:b/>
        </w:rPr>
        <w:t>（二）扣分标准</w:t>
      </w:r>
    </w:p>
    <w:p>
      <w:pPr>
        <w:pStyle w:val="null3"/>
        <w:ind w:firstLine="420"/>
        <w:jc w:val="both"/>
      </w:pPr>
      <w:r>
        <w:rPr>
          <w:sz w:val="24"/>
        </w:rPr>
        <w:t>1.中标人提供拖吊作业服务时，如违反《拖吊车及交通清障服务采购需求》及《拖吊车及交通清障服务合同》中任意一项要求的（下述单列出的扣分标准除外），每次扣1分。</w:t>
      </w:r>
    </w:p>
    <w:p>
      <w:pPr>
        <w:pStyle w:val="null3"/>
        <w:ind w:firstLine="420"/>
        <w:jc w:val="both"/>
      </w:pPr>
      <w:r>
        <w:rPr>
          <w:sz w:val="24"/>
        </w:rPr>
        <w:t>2.中标人在拖吊作业中发生重大失误或违规事件并被当事人投诉至相关部门的，每次扣10分；被当事人起诉的，扣20分；被新闻媒体曝光的，扣30分。本扣分条款与其他扣分条款可累加。</w:t>
      </w:r>
    </w:p>
    <w:p>
      <w:pPr>
        <w:pStyle w:val="null3"/>
        <w:ind w:firstLine="420"/>
        <w:jc w:val="both"/>
      </w:pPr>
      <w:r>
        <w:rPr>
          <w:sz w:val="24"/>
        </w:rPr>
        <w:t>3.中标人提供拖吊作业服务时，到达现场超过规定时间的，按超时的时长扣分，具体标准如下表：</w:t>
      </w:r>
    </w:p>
    <w:p>
      <w:pPr>
        <w:pStyle w:val="null3"/>
        <w:jc w:val="center"/>
      </w:pPr>
      <w:r>
        <w:rPr>
          <w:sz w:val="24"/>
          <w:b/>
        </w:rPr>
        <w:t>表2：到达现场超时扣分标准</w:t>
      </w:r>
    </w:p>
    <w:tbl>
      <w:tblPr>
        <w:tblW w:w="0" w:type="auto"/>
        <w:tblBorders>
          <w:top w:val="none" w:color="000000" w:sz="4"/>
          <w:left w:val="none" w:color="000000" w:sz="4"/>
          <w:bottom w:val="none" w:color="000000" w:sz="4"/>
          <w:right w:val="none" w:color="000000" w:sz="4"/>
          <w:insideH w:val="none"/>
          <w:insideV w:val="none"/>
        </w:tblBorders>
      </w:tblPr>
      <w:tblGrid>
        <w:gridCol w:w="3175"/>
        <w:gridCol w:w="2678"/>
        <w:gridCol w:w="2453"/>
      </w:tblGrid>
      <w:tr>
        <w:tc>
          <w:tcPr>
            <w:tcW w:type="dxa" w:w="3175"/>
            <w:tcBorders>
              <w:top w:val="single" w:color="000000" w:sz="4"/>
              <w:left w:val="single" w:color="000000" w:sz="4"/>
              <w:bottom w:val="single" w:color="000000" w:sz="4"/>
              <w:right w:val="single" w:color="000000" w:sz="4"/>
            </w:tcBorders>
            <w:shd w:fill="DFE0E5"/>
            <w:tcMar>
              <w:top w:type="dxa" w:w="0"/>
              <w:left w:type="dxa" w:w="105"/>
              <w:bottom w:type="dxa" w:w="0"/>
              <w:right w:type="dxa" w:w="105"/>
            </w:tcMar>
            <w:vAlign w:val="top"/>
          </w:tcPr>
          <w:p>
            <w:pPr>
              <w:pStyle w:val="null3"/>
              <w:jc w:val="center"/>
            </w:pPr>
            <w:r>
              <w:rPr>
                <w:sz w:val="24"/>
                <w:b/>
              </w:rPr>
              <w:t>超时时长</w:t>
            </w:r>
          </w:p>
        </w:tc>
        <w:tc>
          <w:tcPr>
            <w:tcW w:type="dxa" w:w="2678"/>
            <w:tcBorders>
              <w:top w:val="single" w:color="000000" w:sz="4"/>
              <w:left w:val="none" w:color="000000" w:sz="4"/>
              <w:bottom w:val="single" w:color="000000" w:sz="4"/>
              <w:right w:val="single" w:color="000000" w:sz="4"/>
            </w:tcBorders>
            <w:shd w:fill="DFE0E5"/>
            <w:tcMar>
              <w:top w:type="dxa" w:w="0"/>
              <w:left w:type="dxa" w:w="105"/>
              <w:bottom w:type="dxa" w:w="0"/>
              <w:right w:type="dxa" w:w="105"/>
            </w:tcMar>
            <w:vAlign w:val="top"/>
          </w:tcPr>
          <w:p>
            <w:pPr>
              <w:pStyle w:val="null3"/>
              <w:jc w:val="center"/>
            </w:pPr>
            <w:r>
              <w:rPr>
                <w:sz w:val="24"/>
                <w:b/>
              </w:rPr>
              <w:t>未造成明显影响的</w:t>
            </w:r>
          </w:p>
        </w:tc>
        <w:tc>
          <w:tcPr>
            <w:tcW w:type="dxa" w:w="2453"/>
            <w:tcBorders>
              <w:top w:val="single" w:color="000000" w:sz="4"/>
              <w:left w:val="none" w:color="000000" w:sz="4"/>
              <w:bottom w:val="single" w:color="000000" w:sz="4"/>
              <w:right w:val="single" w:color="000000" w:sz="4"/>
            </w:tcBorders>
            <w:shd w:fill="DFE0E5"/>
            <w:tcMar>
              <w:top w:type="dxa" w:w="0"/>
              <w:left w:type="dxa" w:w="105"/>
              <w:bottom w:type="dxa" w:w="0"/>
              <w:right w:type="dxa" w:w="105"/>
            </w:tcMar>
            <w:vAlign w:val="top"/>
          </w:tcPr>
          <w:p>
            <w:pPr>
              <w:pStyle w:val="null3"/>
              <w:jc w:val="center"/>
            </w:pPr>
            <w:r>
              <w:rPr>
                <w:sz w:val="24"/>
                <w:b/>
              </w:rPr>
              <w:t>造成明显影响的</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超时＜20分钟</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警告</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5分/次</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20分钟≤超时＜40分钟</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0.5分/次</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6分/次</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40分钟≤超时＜1小时</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1分/次</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8分/次</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1小时≤超时</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2分/次</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10分/次</w:t>
            </w:r>
          </w:p>
        </w:tc>
      </w:tr>
    </w:tbl>
    <w:p>
      <w:pPr>
        <w:pStyle w:val="null3"/>
        <w:ind w:firstLine="420"/>
        <w:jc w:val="both"/>
      </w:pPr>
      <w:r>
        <w:rPr>
          <w:sz w:val="24"/>
        </w:rPr>
        <w:t>注：“造成明显影响”是指：（1）造成重点城区主干道堵塞300米以上；（2）造成快速路堵塞1公里以上；（3）在重要保卫中发生；（4）导致同一警情出现5宗以上。如由于事故、严重堵塞或其他客观原因导致无法准时到达现场的，经发出指令的采购人出具书面说明，可免予扣分。</w:t>
      </w:r>
    </w:p>
    <w:p>
      <w:pPr>
        <w:pStyle w:val="null3"/>
        <w:ind w:firstLine="420"/>
        <w:jc w:val="both"/>
      </w:pPr>
      <w:r>
        <w:rPr>
          <w:sz w:val="24"/>
        </w:rPr>
        <w:t>4.中标人接到采购人服务指令后，拒不提供服务或拖延服务时间的（无正当理由在接到指令后30分钟内未到达现场），每次扣5分。</w:t>
      </w:r>
    </w:p>
    <w:p>
      <w:pPr>
        <w:pStyle w:val="null3"/>
        <w:ind w:firstLine="420"/>
        <w:jc w:val="both"/>
      </w:pPr>
      <w:r>
        <w:rPr>
          <w:sz w:val="24"/>
        </w:rPr>
        <w:t>5.中标人实施拖吊作业没有按规范流程操作的，或没有按规定时间及路线进场，或未立刻服从现场交警指示的，每次扣2分，造成损失的每次扣5分；重特大敏感事件中，未及时按现场交警指示协助对尸体、伤病员的临时转移的每次扣10分。</w:t>
      </w:r>
    </w:p>
    <w:p>
      <w:pPr>
        <w:pStyle w:val="null3"/>
        <w:ind w:firstLine="420"/>
        <w:jc w:val="both"/>
      </w:pPr>
      <w:r>
        <w:rPr>
          <w:sz w:val="24"/>
        </w:rPr>
        <w:t>6.中标人盗窃或置换被拖吊车辆零配件或车上物品的，每次扣20分；数量或金额较大的（如盗窃或置换整车、一次盗窃或置换电池10个以上、盗窃车上物品估计价值超过1万元的），每次扣30分，同时追究中标人法律责任。</w:t>
      </w:r>
    </w:p>
    <w:p>
      <w:pPr>
        <w:pStyle w:val="null3"/>
        <w:ind w:firstLine="420"/>
        <w:jc w:val="both"/>
      </w:pPr>
      <w:r>
        <w:rPr>
          <w:sz w:val="24"/>
        </w:rPr>
        <w:t>7.因中标人原因造成被拖吊车辆或车上物品、零部件遗失或严重损坏（无法修复）的，每次扣10分，并由中标人负责赔偿。</w:t>
      </w:r>
    </w:p>
    <w:p>
      <w:pPr>
        <w:pStyle w:val="null3"/>
        <w:ind w:firstLine="420"/>
        <w:jc w:val="both"/>
      </w:pPr>
      <w:r>
        <w:rPr>
          <w:sz w:val="24"/>
        </w:rPr>
        <w:t>8.中标人私自使用被拖吊车辆或车上物品的，每次扣5分。</w:t>
      </w:r>
    </w:p>
    <w:p>
      <w:pPr>
        <w:pStyle w:val="null3"/>
        <w:ind w:firstLine="420"/>
        <w:jc w:val="both"/>
      </w:pPr>
      <w:r>
        <w:rPr>
          <w:sz w:val="24"/>
        </w:rPr>
        <w:t>9.中标人涉嫌违规收费的，视情况每次扣10-30分。因收费问题被当事人投诉并经调查确认中标人索要超标拖吊车费的，每次扣10分。</w:t>
      </w:r>
    </w:p>
    <w:p>
      <w:pPr>
        <w:pStyle w:val="null3"/>
        <w:ind w:firstLine="420"/>
        <w:jc w:val="both"/>
      </w:pPr>
      <w:r>
        <w:rPr>
          <w:sz w:val="24"/>
        </w:rPr>
        <w:t>已产生违规收费事实的：（1）根据相关规定不得向当事人收取费用而违规向当事人收取费用的，每次扣10分；（2）超标准收取拖吊车费及清理费的，每次扣10分；（3）杜撰服务项目进行收费的，每次扣15分；（4）当事人投诉至相关部门的，每次扣10分；当事人起诉的，扣20分；（5）被网络、报纸以及电视等媒介曝光造成恶劣影响的，每次扣30分。</w:t>
      </w:r>
    </w:p>
    <w:p>
      <w:pPr>
        <w:pStyle w:val="null3"/>
        <w:ind w:firstLine="420"/>
        <w:jc w:val="both"/>
      </w:pPr>
      <w:r>
        <w:rPr>
          <w:sz w:val="24"/>
        </w:rPr>
        <w:t>10.如由拖车作业员填写拖车作业单且出现填写错漏的：（1）经采购人检查发现的，拖吊该辆车的该次服务费用不予支付，同时每张扣1分；（2）填写错漏且被拖吊车辆出现财物被盗窃或置换的，认定为拖车作业员主观故意，每宗扣10分。</w:t>
      </w:r>
    </w:p>
    <w:p>
      <w:pPr>
        <w:pStyle w:val="null3"/>
        <w:ind w:firstLine="420"/>
        <w:jc w:val="both"/>
      </w:pPr>
      <w:r>
        <w:rPr>
          <w:sz w:val="24"/>
        </w:rPr>
        <w:t>11.由于中标人原因未能及时完成拖吊作业的：（1）在一般工作或保卫工作中，每次扣5分；（2）造成重大堵塞（市区主干道堵塞300米以上，快速路堵塞1公里以上）的，每次扣10分；（3）在高级别警保卫（二级警卫及以上）或重大群体性活动中，造成堵塞的（50米以上或影响车队快速通过），每次扣15分；（4）造成警卫车队无法正常通过的，每次扣30分。</w:t>
      </w:r>
    </w:p>
    <w:p>
      <w:pPr>
        <w:pStyle w:val="null3"/>
        <w:ind w:firstLine="420"/>
        <w:jc w:val="both"/>
      </w:pPr>
      <w:r>
        <w:rPr>
          <w:sz w:val="24"/>
        </w:rPr>
        <w:t>12.中标人不按投标文件承诺或采购人要求投入相应人力或拯救车的，缺少作业人员每人次扣0.5分、缺少拯救车（或车型不符）每辆次扣1分并限期改正；不按采购人要求实施整改的，每延迟一天扣1分，至整改至符合采购人要求止；如对采购人工作造成影响的，每次扣5分。</w:t>
      </w:r>
    </w:p>
    <w:p>
      <w:pPr>
        <w:pStyle w:val="null3"/>
        <w:ind w:firstLine="420"/>
        <w:jc w:val="both"/>
      </w:pPr>
      <w:r>
        <w:rPr>
          <w:sz w:val="24"/>
        </w:rPr>
        <w:t>13.中标人不按采购人要求使用拯救车车载卫星定位系统、行车记录仪的，或不按要求保存相关数据的，每次扣5分并限期整改；未按要求整改的，每延迟一天扣1分，至整改至符合采购人要求为止。</w:t>
      </w:r>
    </w:p>
    <w:p>
      <w:pPr>
        <w:pStyle w:val="null3"/>
        <w:ind w:firstLine="420"/>
        <w:jc w:val="both"/>
      </w:pPr>
      <w:r>
        <w:rPr>
          <w:sz w:val="24"/>
        </w:rPr>
        <w:t>14.中标人未按采购人要求备勤的（包括未按规定时间、地点、车型、人员配备备勤和自行收勤），每次扣2分；备勤车辆在接到指令后10分钟之内未开动的，每次扣2分；如造成采购人工作失误的，每次扣5分；在高级别警保卫（二级警卫及以上）或重大群体性活动中，每次扣10分。</w:t>
      </w:r>
    </w:p>
    <w:p>
      <w:pPr>
        <w:pStyle w:val="null3"/>
        <w:ind w:firstLine="420"/>
        <w:jc w:val="both"/>
      </w:pPr>
      <w:r>
        <w:rPr>
          <w:sz w:val="24"/>
        </w:rPr>
        <w:t>15.中标人将合同内的拯救车从事社会服务的，每次扣2分；将备勤拯救车擅自挪作他用的，每次扣5分。</w:t>
      </w:r>
    </w:p>
    <w:p>
      <w:pPr>
        <w:pStyle w:val="null3"/>
        <w:ind w:firstLine="420"/>
        <w:jc w:val="both"/>
      </w:pPr>
      <w:r>
        <w:rPr>
          <w:sz w:val="24"/>
        </w:rPr>
        <w:t>16.中标人不按时提交项目结算资料的，每延迟一天扣0.2分；中标人项目结算资料出现2处及2处以上错误的，每增加1处扣0.2分。</w:t>
      </w:r>
    </w:p>
    <w:p>
      <w:pPr>
        <w:pStyle w:val="null3"/>
        <w:ind w:firstLine="420"/>
        <w:jc w:val="both"/>
      </w:pPr>
      <w:r>
        <w:rPr>
          <w:sz w:val="24"/>
        </w:rPr>
        <w:t>17.中标人不按采购人要求派车（例如要求派大型拖吊车而派小型拖吊车、拖吊车上要求带包括枕木、消防器材、扫把、簸箕、木屑、铁铲、拖车绳、裹尸布（袋）、扳手、简易担架、车罩、毛毯、警示筒、警示带等物品未带）或车辆状况不正常（不能正常作业、无号牌或故意遮挡号牌等）的，每次扣2分，造成严重影响的，每次扣5分。</w:t>
      </w:r>
    </w:p>
    <w:p>
      <w:pPr>
        <w:pStyle w:val="null3"/>
        <w:ind w:firstLine="420"/>
        <w:jc w:val="both"/>
      </w:pPr>
      <w:r>
        <w:rPr>
          <w:sz w:val="24"/>
        </w:rPr>
        <w:t>18.中标人故意提供虚假报账材料的，每次扣20分，并限期整改，已支付相关费用的，限期退还多余费用。</w:t>
      </w:r>
    </w:p>
    <w:p>
      <w:pPr>
        <w:pStyle w:val="null3"/>
        <w:ind w:firstLine="420"/>
        <w:jc w:val="both"/>
      </w:pPr>
      <w:r>
        <w:rPr>
          <w:sz w:val="24"/>
        </w:rPr>
        <w:t>19.中标人及其工作人员违反国家有关规定，向他人出售或提供公民个人信息，情节严重，被公安机关立案侦查的，每次扣20分。</w:t>
      </w:r>
    </w:p>
    <w:p>
      <w:pPr>
        <w:pStyle w:val="null3"/>
        <w:ind w:firstLine="420"/>
        <w:jc w:val="both"/>
      </w:pPr>
      <w:r>
        <w:rPr>
          <w:sz w:val="24"/>
        </w:rPr>
        <w:t>20.中标人在警保卫工作中，发生泄密行为的，每次扣20分。</w:t>
      </w:r>
    </w:p>
    <w:p>
      <w:pPr>
        <w:pStyle w:val="null3"/>
        <w:ind w:firstLine="420"/>
        <w:jc w:val="both"/>
      </w:pPr>
      <w:r>
        <w:rPr>
          <w:sz w:val="24"/>
        </w:rPr>
        <w:t>21.中标人不按采购人要求使用相关管理系统的，每次扣2分，发生故障后未及时维护恢复使用超过1天的，每超1天扣1分。</w:t>
      </w:r>
    </w:p>
    <w:p>
      <w:pPr>
        <w:pStyle w:val="null3"/>
        <w:ind w:firstLine="420"/>
        <w:jc w:val="both"/>
      </w:pPr>
      <w:r>
        <w:rPr>
          <w:sz w:val="24"/>
        </w:rPr>
        <w:t>22.对于以上中标人的过错行为，扣分可累加，无扣分次数及扣分总额的上限。</w:t>
      </w:r>
    </w:p>
    <w:p>
      <w:pPr>
        <w:pStyle w:val="null3"/>
        <w:ind w:firstLine="422"/>
        <w:jc w:val="both"/>
      </w:pPr>
      <w:r>
        <w:rPr>
          <w:sz w:val="24"/>
          <w:b/>
        </w:rPr>
        <w:t>（三）奖分办法</w:t>
      </w:r>
    </w:p>
    <w:p>
      <w:pPr>
        <w:pStyle w:val="null3"/>
        <w:ind w:firstLine="420"/>
        <w:jc w:val="both"/>
      </w:pPr>
      <w:r>
        <w:rPr>
          <w:sz w:val="24"/>
        </w:rPr>
        <w:t>1.中标人发现交通事故、故障车辆或障碍物并及时上报且经采购人书面确认的，每宗奖励1分。</w:t>
      </w:r>
    </w:p>
    <w:p>
      <w:pPr>
        <w:pStyle w:val="null3"/>
        <w:ind w:firstLine="420"/>
        <w:jc w:val="both"/>
      </w:pPr>
      <w:r>
        <w:rPr>
          <w:sz w:val="24"/>
        </w:rPr>
        <w:t>2.中标人作业及时、服务好或效果佳，被新闻媒体表扬的，每宗奖励5分。</w:t>
      </w:r>
    </w:p>
    <w:p>
      <w:pPr>
        <w:pStyle w:val="null3"/>
        <w:ind w:firstLine="420"/>
        <w:jc w:val="both"/>
      </w:pPr>
      <w:r>
        <w:rPr>
          <w:sz w:val="24"/>
        </w:rPr>
        <w:t>3.每月奖分5分封顶。奖分加至月度总评超过100分时，服务费按100%支付。</w:t>
      </w:r>
    </w:p>
    <w:p>
      <w:pPr>
        <w:pStyle w:val="null3"/>
        <w:ind w:firstLine="422"/>
        <w:jc w:val="both"/>
      </w:pPr>
      <w:r>
        <w:rPr>
          <w:sz w:val="24"/>
          <w:b/>
        </w:rPr>
        <w:t>（四）整改落实要求</w:t>
      </w:r>
    </w:p>
    <w:p>
      <w:pPr>
        <w:pStyle w:val="null3"/>
        <w:ind w:firstLine="420"/>
        <w:jc w:val="both"/>
      </w:pPr>
      <w:r>
        <w:rPr>
          <w:sz w:val="24"/>
        </w:rPr>
        <w:t>根据存在问题，采购人对中标人发出《整改通知书》(附件1），要求限期整改，中标人应在规定期限内实施整改，并将整改的情况书面报采购人。</w:t>
      </w:r>
    </w:p>
    <w:p>
      <w:pPr>
        <w:pStyle w:val="null3"/>
        <w:ind w:firstLine="422"/>
        <w:jc w:val="both"/>
      </w:pPr>
      <w:r>
        <w:rPr>
          <w:sz w:val="24"/>
          <w:b/>
        </w:rPr>
        <w:t>（五）形成结算依据</w:t>
      </w:r>
    </w:p>
    <w:p>
      <w:pPr>
        <w:pStyle w:val="null3"/>
        <w:ind w:firstLine="420"/>
        <w:jc w:val="both"/>
      </w:pPr>
      <w:r>
        <w:rPr>
          <w:sz w:val="24"/>
        </w:rPr>
        <w:t>采购人每月制作月度考评总表（附件2），作为结算依据之一。</w:t>
      </w:r>
    </w:p>
    <w:p>
      <w:pPr>
        <w:pStyle w:val="null3"/>
        <w:ind w:firstLine="422"/>
        <w:jc w:val="both"/>
      </w:pPr>
      <w:r>
        <w:rPr>
          <w:sz w:val="24"/>
          <w:b/>
        </w:rPr>
        <w:t>（六）供应商社会责任与合规要求</w:t>
      </w:r>
    </w:p>
    <w:p>
      <w:pPr>
        <w:pStyle w:val="null3"/>
        <w:ind w:firstLine="420"/>
        <w:jc w:val="both"/>
      </w:pPr>
      <w:r>
        <w:rPr>
          <w:sz w:val="24"/>
        </w:rPr>
        <w:t>1.中标人应按照《中华人民共和国劳动法》的相关规定发放工资，作业人员工资不得低于广州市企业职工最低工资标准（工资不含按国家规定供应商必须支付的社会保险及其他应付费用）。</w:t>
      </w:r>
    </w:p>
    <w:p>
      <w:pPr>
        <w:pStyle w:val="null3"/>
        <w:ind w:firstLine="420"/>
        <w:jc w:val="both"/>
      </w:pPr>
      <w:r>
        <w:rPr>
          <w:sz w:val="24"/>
        </w:rPr>
        <w:t>2.中标供应商应按照《中华人民共和国社会保险法》和《住房公积金管理条例》的相关规定，支付国家规定必须购买的社会保险费用和缴存住房公积金。</w:t>
      </w:r>
    </w:p>
    <w:p>
      <w:pPr>
        <w:pStyle w:val="null3"/>
        <w:ind w:firstLine="420"/>
        <w:jc w:val="both"/>
      </w:pPr>
      <w:r>
        <w:rPr>
          <w:sz w:val="24"/>
        </w:rPr>
        <w:t>中标供应商应确保按照国家法律法规和合同约定支付工人工资，不得无故拖欠工人工资。如有违反，责任由中标供应商承担。由于中标人未按上述规定执行，导致发生的任何劳工纠纷等任何责任与采购人无关，采购人无须承担任何责任。</w:t>
      </w:r>
    </w:p>
    <w:p>
      <w:pPr>
        <w:pStyle w:val="null3"/>
        <w:ind w:firstLine="422"/>
        <w:jc w:val="both"/>
      </w:pPr>
      <w:r>
        <w:rPr>
          <w:sz w:val="24"/>
          <w:b/>
        </w:rPr>
        <w:t>（七）★投保商业保险</w:t>
      </w:r>
    </w:p>
    <w:p>
      <w:pPr>
        <w:pStyle w:val="null3"/>
        <w:ind w:firstLine="420"/>
        <w:jc w:val="both"/>
      </w:pPr>
      <w:r>
        <w:rPr>
          <w:sz w:val="24"/>
        </w:rPr>
        <w:t>为了提高中标人对合同的履约能力，有效解决被拖车辆因自然或人为因素造成损毁所导致的赔偿问题，就中标人投保商业保险提出具体约定如下：</w:t>
      </w:r>
    </w:p>
    <w:p>
      <w:pPr>
        <w:pStyle w:val="null3"/>
        <w:ind w:firstLine="420"/>
        <w:jc w:val="both"/>
      </w:pPr>
      <w:r>
        <w:rPr>
          <w:sz w:val="24"/>
        </w:rPr>
        <w:t>1.中标人在合同有效期内应就拖曳车辆的具体行为定期购买商业财产保险；</w:t>
      </w:r>
    </w:p>
    <w:p>
      <w:pPr>
        <w:pStyle w:val="null3"/>
        <w:ind w:firstLine="420"/>
        <w:jc w:val="both"/>
      </w:pPr>
      <w:r>
        <w:rPr>
          <w:sz w:val="24"/>
        </w:rPr>
        <w:t>2.中标人所购上述财产保险的投保及理赔范围应全面且细致，除突发自然灾害、战争等不可抗拒的因素外，须包括车辆在被拖曳过程中遭到盗抢、火灾（含自燃）、二次交通事故以及因其它人为因素造成损失等一切可预见的情况；</w:t>
      </w:r>
    </w:p>
    <w:p>
      <w:pPr>
        <w:pStyle w:val="null3"/>
        <w:ind w:firstLine="420"/>
        <w:jc w:val="both"/>
      </w:pPr>
      <w:r>
        <w:rPr>
          <w:sz w:val="24"/>
        </w:rPr>
        <w:t>3.中标人所购上述财产保险的理赔时限应在合同履约期内持续有效，若其间发生理赔事故的，应当在投保期限终止前与保险公司续约或重新与其他保险公司签约投保，保障合同履约期限内任意时刻的保险理赔金额应不少于人民币800万元整；</w:t>
      </w:r>
    </w:p>
    <w:p>
      <w:pPr>
        <w:pStyle w:val="null3"/>
        <w:ind w:firstLine="420"/>
        <w:jc w:val="both"/>
      </w:pPr>
      <w:r>
        <w:rPr>
          <w:sz w:val="24"/>
        </w:rPr>
        <w:t>4.中标人在拖曳车辆的过程中，发生上述财产保险理赔范围内的事故时，保险公司的赔付金额不足以全额支付中标人所应当承担的法律责任的，上述的不足部分应由中标人自行担负，采购人不承担因此而导致的任何法律后果；</w:t>
      </w:r>
    </w:p>
    <w:p>
      <w:pPr>
        <w:pStyle w:val="null3"/>
        <w:ind w:firstLine="420"/>
        <w:jc w:val="both"/>
      </w:pPr>
      <w:r>
        <w:rPr>
          <w:sz w:val="24"/>
        </w:rPr>
        <w:t>5.对于商业保险所不予理赔的范围及其它相关情况，中标人应向第三方当事人即被拖曳车辆的车主（司机）所提供的托收票据（一式三联）中予以书面说明，在拖曳车辆具体行为实施之前交由该车主（司机）签字确认，并将上述票据分别交由采购人、中标人、第三方当事人妥善保管；</w:t>
      </w:r>
    </w:p>
    <w:p>
      <w:pPr>
        <w:pStyle w:val="null3"/>
        <w:ind w:firstLine="420"/>
        <w:jc w:val="both"/>
      </w:pPr>
      <w:r>
        <w:rPr>
          <w:sz w:val="24"/>
        </w:rPr>
        <w:t>6.上述1-5款所称商业保险，仅指中标人为第三方当事人即被拖曳车辆的车主（司机）所提供的风险保障，不含中标人为自身车辆及装备提供的风险保障；中标人自身的风险保障由中标人自行确定，不属于本项目约定的范围。</w:t>
      </w:r>
    </w:p>
    <w:p>
      <w:pPr>
        <w:pStyle w:val="null3"/>
        <w:ind w:firstLine="422"/>
        <w:jc w:val="both"/>
      </w:pPr>
      <w:r>
        <w:rPr>
          <w:sz w:val="24"/>
          <w:b/>
        </w:rPr>
        <w:t>四、计费方式与支付程序</w:t>
      </w:r>
    </w:p>
    <w:p>
      <w:pPr>
        <w:pStyle w:val="null3"/>
        <w:ind w:firstLine="422"/>
        <w:jc w:val="both"/>
      </w:pPr>
      <w:r>
        <w:rPr>
          <w:sz w:val="24"/>
          <w:b/>
        </w:rPr>
        <w:t>（一）拖吊作业服务计费</w:t>
      </w:r>
    </w:p>
    <w:p>
      <w:pPr>
        <w:pStyle w:val="null3"/>
        <w:ind w:firstLine="420"/>
        <w:jc w:val="both"/>
      </w:pPr>
      <w:r>
        <w:rPr>
          <w:sz w:val="24"/>
        </w:rPr>
        <w:t>1.交通违法车辆和因交警部门查验取证需要暂扣事故车辆（含交通事故现场清理在内，不再另外支付），属于本项目采购支付范围。由采购人按拖吊数量与拖吊中标单价（</w:t>
      </w:r>
      <w:r>
        <w:rPr>
          <w:sz w:val="24"/>
        </w:rPr>
        <w:t>基准价*中标折扣率</w:t>
      </w:r>
      <w:r>
        <w:rPr>
          <w:sz w:val="24"/>
        </w:rPr>
        <w:t>）进行结算，由财政负责支付，中标人不得向当事人收取费用。</w:t>
      </w:r>
    </w:p>
    <w:p>
      <w:pPr>
        <w:pStyle w:val="null3"/>
        <w:ind w:firstLine="420"/>
        <w:jc w:val="both"/>
      </w:pPr>
      <w:r>
        <w:rPr>
          <w:sz w:val="24"/>
        </w:rPr>
        <w:t>2.拖吊其他事故车辆（指除因采购人查验取证需要暂扣以外的事故车辆）及不影响交通的故障车辆（拖移影响交通的故障车辆按清障服务计费）计费，不属于本项目采购支付范围。如不妨碍交通，当事人可自行联系其他拯救途径，中标人不得强行拖移该车辆。</w:t>
      </w:r>
    </w:p>
    <w:p>
      <w:pPr>
        <w:pStyle w:val="null3"/>
        <w:ind w:firstLine="422"/>
        <w:jc w:val="both"/>
      </w:pPr>
      <w:r>
        <w:rPr>
          <w:sz w:val="24"/>
          <w:b/>
        </w:rPr>
        <w:t>（二）交通保障服务计费</w:t>
      </w:r>
    </w:p>
    <w:p>
      <w:pPr>
        <w:pStyle w:val="null3"/>
        <w:ind w:firstLine="420"/>
        <w:jc w:val="both"/>
      </w:pPr>
      <w:r>
        <w:rPr>
          <w:sz w:val="24"/>
        </w:rPr>
        <w:t>1.交通保障服务按小时计算，以拖车按采购人要求到达指定地点为开始时间，以收到采购人通知结束指令为止。具体以中标人中标单价</w:t>
      </w:r>
      <w:r>
        <w:rPr>
          <w:sz w:val="24"/>
        </w:rPr>
        <w:t>（</w:t>
      </w:r>
      <w:r>
        <w:rPr>
          <w:sz w:val="24"/>
        </w:rPr>
        <w:t>基准价*中标折扣率</w:t>
      </w:r>
      <w:r>
        <w:rPr>
          <w:sz w:val="24"/>
        </w:rPr>
        <w:t>）</w:t>
      </w:r>
      <w:r>
        <w:rPr>
          <w:sz w:val="24"/>
        </w:rPr>
        <w:t>及经采购人审核确定的服务时间进行核算。</w:t>
      </w:r>
    </w:p>
    <w:p>
      <w:pPr>
        <w:pStyle w:val="null3"/>
        <w:ind w:firstLine="420"/>
        <w:jc w:val="both"/>
      </w:pPr>
      <w:r>
        <w:rPr>
          <w:sz w:val="24"/>
        </w:rPr>
        <w:t>2.在提供交通保障服务期间，备勤拯救车接采购人指令调离岗位实施拖吊作业的，其备勤费用的计算须减去不在备勤岗位的时间，不得重复计算费用。实施的拖吊作业另行计费，计费按“（一）拖吊作业服务计费”的规定执行。</w:t>
      </w:r>
    </w:p>
    <w:p>
      <w:pPr>
        <w:pStyle w:val="null3"/>
        <w:ind w:firstLine="422"/>
        <w:jc w:val="both"/>
      </w:pPr>
      <w:r>
        <w:rPr>
          <w:sz w:val="24"/>
          <w:b/>
        </w:rPr>
        <w:t>（三）其他清障服务计费</w:t>
      </w:r>
    </w:p>
    <w:p>
      <w:pPr>
        <w:pStyle w:val="null3"/>
        <w:ind w:firstLine="420"/>
        <w:jc w:val="both"/>
      </w:pPr>
      <w:r>
        <w:rPr>
          <w:sz w:val="24"/>
        </w:rPr>
        <w:t>其他清障服务费用按车次计算支付，具体以中标人中标单价</w:t>
      </w:r>
      <w:r>
        <w:rPr>
          <w:sz w:val="24"/>
        </w:rPr>
        <w:t>（</w:t>
      </w:r>
      <w:r>
        <w:rPr>
          <w:sz w:val="24"/>
        </w:rPr>
        <w:t>基准价*中标折扣率</w:t>
      </w:r>
      <w:r>
        <w:rPr>
          <w:sz w:val="24"/>
        </w:rPr>
        <w:t>）</w:t>
      </w:r>
      <w:r>
        <w:rPr>
          <w:sz w:val="24"/>
        </w:rPr>
        <w:t>及经采购人审核确定的服务次数进行核算。</w:t>
      </w:r>
    </w:p>
    <w:p>
      <w:pPr>
        <w:pStyle w:val="null3"/>
        <w:ind w:firstLine="422"/>
        <w:jc w:val="both"/>
      </w:pPr>
      <w:r>
        <w:rPr>
          <w:sz w:val="24"/>
          <w:b/>
        </w:rPr>
        <w:t>（四）空驶计费</w:t>
      </w:r>
    </w:p>
    <w:p>
      <w:pPr>
        <w:pStyle w:val="null3"/>
        <w:ind w:firstLine="420"/>
        <w:jc w:val="both"/>
      </w:pPr>
      <w:r>
        <w:rPr>
          <w:sz w:val="24"/>
        </w:rPr>
        <w:t>每一宗空驶费用结算均需提供对应的采购人中队电台原始登记台账与全球卫星定位系统轨迹作为依据，具体以中标人中标单价（</w:t>
      </w:r>
      <w:r>
        <w:rPr>
          <w:sz w:val="24"/>
        </w:rPr>
        <w:t>基准价*中标折扣率</w:t>
      </w:r>
      <w:r>
        <w:rPr>
          <w:sz w:val="24"/>
        </w:rPr>
        <w:t>）及经采购人审核确定的服务台数进行核算。</w:t>
      </w:r>
    </w:p>
    <w:p>
      <w:pPr>
        <w:pStyle w:val="null3"/>
        <w:ind w:firstLine="422"/>
        <w:jc w:val="both"/>
      </w:pPr>
      <w:r>
        <w:rPr>
          <w:sz w:val="24"/>
          <w:b/>
        </w:rPr>
        <w:t>（五）支付程序</w:t>
      </w:r>
    </w:p>
    <w:p>
      <w:pPr>
        <w:pStyle w:val="null3"/>
        <w:ind w:firstLine="420"/>
        <w:jc w:val="both"/>
      </w:pPr>
      <w:r>
        <w:rPr>
          <w:sz w:val="24"/>
        </w:rPr>
        <w:t>1、实际服务费按月结算，每月支付一次。</w:t>
      </w:r>
    </w:p>
    <w:p>
      <w:pPr>
        <w:pStyle w:val="null3"/>
        <w:ind w:firstLine="420"/>
        <w:jc w:val="both"/>
      </w:pPr>
      <w:r>
        <w:rPr>
          <w:sz w:val="24"/>
        </w:rPr>
        <w:t>2、中标供应商于每月10日前向采购人提交上月服务明细清单（包括车辆拖吊服务汇总、其他服务汇总），采购人应在10个工作日内对服务清单完成审核。</w:t>
      </w:r>
    </w:p>
    <w:p>
      <w:pPr>
        <w:pStyle w:val="null3"/>
        <w:ind w:firstLine="420"/>
        <w:jc w:val="both"/>
      </w:pPr>
      <w:r>
        <w:rPr>
          <w:sz w:val="24"/>
        </w:rPr>
        <w:t>3、根据每月实际作业量、考评奖惩办法及考评结果情况经双方审核确认无误后，得出每月的服务费支付金额，中标供应商应于5个工作日内向采购人申请付款，并将上月的服务汇总资料及等额的服务发票交给采购人，采购人在接到供应商递交的支付申请材料后在5个工作日内办理上月服务的财政支付手续。</w:t>
      </w:r>
    </w:p>
    <w:p>
      <w:pPr>
        <w:pStyle w:val="null3"/>
        <w:ind w:firstLine="420"/>
        <w:jc w:val="both"/>
      </w:pPr>
      <w:r>
        <w:rPr>
          <w:sz w:val="24"/>
        </w:rPr>
        <w:t>4、因采购人使用的是财政资金，采购人在前款规定的办理财政集中支付手续的时间为向政府采购支付部门提出办理财政支付申请手续的时间（不含政府财政支付部门审核的时间），采购人在规定时间内提出向合同约定的收款单位付款的申请手续后即视为甲方已经按期履约。由于财政资金拨款不到位而导致采购人逾期付款的，采购人不承担违约责任。</w:t>
      </w:r>
    </w:p>
    <w:p>
      <w:pPr>
        <w:pStyle w:val="null3"/>
        <w:ind w:firstLine="422"/>
        <w:jc w:val="both"/>
      </w:pPr>
      <w:r>
        <w:rPr>
          <w:sz w:val="24"/>
          <w:b/>
        </w:rPr>
        <w:t>五、★报价要求</w:t>
      </w:r>
    </w:p>
    <w:p>
      <w:pPr>
        <w:pStyle w:val="null3"/>
        <w:ind w:firstLine="420"/>
        <w:jc w:val="both"/>
      </w:pPr>
      <w:r>
        <w:rPr>
          <w:sz w:val="24"/>
        </w:rPr>
        <w:t>投标人报价必须综合考虑各片区实际拖车距离。拖吊作业服务、交通保障服务、其他清障作业、空驶的服务基准价为综合单价，包含拖吊作业车辆的购置（或租赁）费、油料费、维修费、路桥费（含高速公路过路费）、保险费、税费以及作业人员工资、保险费等所有费用。</w:t>
      </w:r>
    </w:p>
    <w:p>
      <w:pPr>
        <w:pStyle w:val="null3"/>
        <w:ind w:firstLine="420"/>
        <w:jc w:val="both"/>
      </w:pPr>
      <w:r>
        <w:rPr>
          <w:sz w:val="24"/>
        </w:rPr>
        <w:t>投标人对“拖吊作业服务”、“交通保障服务”、“其他清障作业”及“空驶”的基准价做统一的折扣率报价，投标折扣率区间为0－100％，须为固定值（如20%），不得存在区间值（如20%～25%），否则将被视无效投标。</w:t>
      </w:r>
    </w:p>
    <w:p>
      <w:pPr>
        <w:pStyle w:val="null3"/>
        <w:ind w:firstLine="420"/>
      </w:pPr>
      <w:r>
        <w:rPr>
          <w:sz w:val="24"/>
        </w:rPr>
        <w:t>拖吊作业服务、交通保障服务、其他清障作业、空驶的服务基准价如下（单位：元/辆）：</w:t>
      </w:r>
    </w:p>
    <w:p>
      <w:pPr>
        <w:pStyle w:val="null3"/>
        <w:jc w:val="center"/>
      </w:pPr>
      <w:r>
        <w:rPr>
          <w:sz w:val="24"/>
        </w:rPr>
        <w:t>表3：拖吊作业基准价明细表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02"/>
        <w:gridCol w:w="3373"/>
        <w:gridCol w:w="1293"/>
        <w:gridCol w:w="1828"/>
        <w:gridCol w:w="1010"/>
      </w:tblGrid>
      <w:tr>
        <w:tc>
          <w:tcPr>
            <w:tcW w:type="dxa" w:w="8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3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服务类别</w:t>
            </w:r>
          </w:p>
        </w:tc>
        <w:tc>
          <w:tcPr>
            <w:tcW w:type="dxa" w:w="4131"/>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基准价</w:t>
            </w:r>
          </w:p>
        </w:tc>
      </w:tr>
      <w:tr>
        <w:tc>
          <w:tcPr>
            <w:tcW w:type="dxa" w:w="802"/>
            <w:vMerge/>
            <w:tcBorders>
              <w:top w:val="single" w:color="000000" w:sz="4"/>
              <w:left w:val="single" w:color="000000" w:sz="4"/>
              <w:bottom w:val="single" w:color="000000" w:sz="4"/>
              <w:right w:val="single" w:color="000000" w:sz="4"/>
            </w:tcBorders>
          </w:tcPr>
          <w:p/>
        </w:tc>
        <w:tc>
          <w:tcPr>
            <w:tcW w:type="dxa" w:w="3373"/>
            <w:vMerge/>
            <w:tcBorders>
              <w:top w:val="singl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普通公路、城市道路交通违法车辆（拖车基准价）</w:t>
            </w:r>
          </w:p>
        </w:tc>
        <w:tc>
          <w:tcPr>
            <w:tcW w:type="dxa" w:w="1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普通公路、城市道路交警部门查验取证需要暂扣的事故车辆（拖车基准价）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吊车基准价</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750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拖吊作业服务</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无动力装置的二轮车（包括自行车、手推车、手拖车、平板车、大板车、无电池的电动车等）</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有动力装置的二轮车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三轮车（包括三轮摩托车、三轮电动车、人力三轮车、加装动力装置的三轮车、黄包车及残疾人专用机动车）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7座以下（含7座）客车、2吨（含2吨）以下货车及四轮（含四轮）以上载人电瓶车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8座以上至19座（含19座）以下客车、2吨以上至5吨（含5吨）货车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20座以上至39座（含39座）以下客车、5吨以上至10吨（含10吨）货车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40座（含40座）以上客车、10吨以上至15吨（含15吨）货车、20英尺集装箱车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15吨以上至35吨（含35吨）货车、40英尺集装箱车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35吨以上货车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交通保障服务</w:t>
            </w:r>
          </w:p>
        </w:tc>
        <w:tc>
          <w:tcPr>
            <w:tcW w:type="dxa" w:w="413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60元/小时/台</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其他清障工作</w:t>
            </w:r>
          </w:p>
        </w:tc>
        <w:tc>
          <w:tcPr>
            <w:tcW w:type="dxa" w:w="413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180元/次</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空驶</w:t>
            </w:r>
          </w:p>
        </w:tc>
        <w:tc>
          <w:tcPr>
            <w:tcW w:type="dxa" w:w="413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90元/台</w:t>
            </w:r>
          </w:p>
        </w:tc>
      </w:tr>
    </w:tbl>
    <w:p>
      <w:pPr>
        <w:pStyle w:val="null3"/>
        <w:ind w:firstLine="422"/>
      </w:pPr>
      <w:r>
        <w:rPr>
          <w:sz w:val="24"/>
          <w:b/>
        </w:rPr>
        <w:t>六、★结算要求</w:t>
      </w:r>
    </w:p>
    <w:p>
      <w:pPr>
        <w:pStyle w:val="null3"/>
        <w:ind w:firstLine="420"/>
      </w:pPr>
      <w:r>
        <w:rPr>
          <w:sz w:val="24"/>
        </w:rPr>
        <w:t>1.关于拖吊作业服务，拖吊作业服务实付价＝基准价×中标折扣率，原则如下：</w:t>
      </w:r>
    </w:p>
    <w:p>
      <w:pPr>
        <w:pStyle w:val="null3"/>
        <w:ind w:firstLine="420"/>
      </w:pPr>
      <w:r>
        <w:rPr>
          <w:sz w:val="24"/>
        </w:rPr>
        <w:t>（1）被拖客车凭行驶证核定的座位数进行分类，被拖货车凭行驶证核定的核定载质量进行分类结算。</w:t>
      </w:r>
    </w:p>
    <w:p>
      <w:pPr>
        <w:pStyle w:val="null3"/>
        <w:ind w:firstLine="420"/>
      </w:pPr>
      <w:r>
        <w:rPr>
          <w:sz w:val="24"/>
        </w:rPr>
        <w:t>（2）对客车、货车以外无核定载质量的其它类型机动车，按行驶证（未注册登记按整车出厂合格证）核定的整备质量，参考货车结算标准进行结算。如依据该规则，仍无法归类计费档次，按照“7座以下（含7座）客车、2吨（含2吨）以下货车及四轮（含四轮）以上载人电瓶车”档次计算费用。</w:t>
      </w:r>
    </w:p>
    <w:p>
      <w:pPr>
        <w:pStyle w:val="null3"/>
        <w:ind w:firstLine="420"/>
      </w:pPr>
      <w:r>
        <w:rPr>
          <w:sz w:val="24"/>
        </w:rPr>
        <w:t>2.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pPr>
        <w:pStyle w:val="null3"/>
        <w:ind w:firstLine="420"/>
      </w:pPr>
      <w:r>
        <w:rPr>
          <w:sz w:val="24"/>
        </w:rPr>
        <w:t>3.关于协助大队异地蹲点伏击，可参照专项整治备勤的标准报账；协助将涉案车辆从异地押送回穗扣留或押送回大队营区待查，可参照查扣同类型车辆入场的标准报账。</w:t>
      </w:r>
    </w:p>
    <w:p>
      <w:pPr>
        <w:pStyle w:val="null3"/>
        <w:ind w:firstLine="420"/>
      </w:pPr>
      <w:r>
        <w:rPr>
          <w:sz w:val="24"/>
        </w:rPr>
        <w:t>4.交通保障服务的报价不分车型，按每台拯救车每参加1小时的备勤（含常态化高峰期备勤、警保卫工作备勤、交通整治备勤、突发事件处置备勤等）以折扣率进行报价。基准价为60元/小时/台，采购人实付价＝基准价×</w:t>
      </w:r>
      <w:r>
        <w:rPr>
          <w:sz w:val="24"/>
        </w:rPr>
        <w:t>中标</w:t>
      </w:r>
      <w:r>
        <w:rPr>
          <w:sz w:val="24"/>
        </w:rPr>
        <w:t>折扣率。</w:t>
      </w:r>
    </w:p>
    <w:p>
      <w:pPr>
        <w:pStyle w:val="null3"/>
        <w:ind w:firstLine="420"/>
      </w:pPr>
      <w:r>
        <w:rPr>
          <w:sz w:val="24"/>
        </w:rPr>
        <w:t>5.中标人从事采购人指定的其他清障工作，以出车车次计算，基准价为180元/次/台，采购人实付价＝基准价×</w:t>
      </w:r>
      <w:r>
        <w:rPr>
          <w:sz w:val="24"/>
        </w:rPr>
        <w:t>中标</w:t>
      </w:r>
      <w:r>
        <w:rPr>
          <w:sz w:val="24"/>
        </w:rPr>
        <w:t>折扣率。</w:t>
      </w:r>
    </w:p>
    <w:p>
      <w:pPr>
        <w:pStyle w:val="null3"/>
        <w:ind w:firstLine="420"/>
      </w:pPr>
      <w:r>
        <w:rPr>
          <w:sz w:val="24"/>
        </w:rPr>
        <w:t>6.空驶的报价不分车型，基准价为90元/次/台，采购人实付价＝基准价×中标折扣率。</w:t>
      </w:r>
    </w:p>
    <w:p>
      <w:pPr>
        <w:pStyle w:val="null3"/>
        <w:ind w:firstLine="420"/>
      </w:pPr>
      <w:r>
        <w:rPr>
          <w:sz w:val="24"/>
        </w:rPr>
        <w:t>7.拖车自身的过路费和被拖车辆由暂扣现场至停车场的过路费用由中标人承担（包含在拖吊费用内，不再另外支付）。</w:t>
      </w:r>
    </w:p>
    <w:p>
      <w:pPr>
        <w:pStyle w:val="null3"/>
        <w:ind w:firstLine="420"/>
      </w:pPr>
      <w:r>
        <w:rPr>
          <w:sz w:val="24"/>
        </w:rPr>
        <w:t>8. 如在服务期内涉及违法车辆的转场费用，按拖吊数量和拖吊单价（单价=拖吊作业服务基准价*0.9*中标折扣率）进行结算，但不含在本项目预算金额内。</w:t>
      </w:r>
    </w:p>
    <w:p>
      <w:pPr>
        <w:pStyle w:val="null3"/>
        <w:ind w:firstLine="420"/>
      </w:pPr>
      <w:r>
        <w:rPr>
          <w:sz w:val="24"/>
        </w:rPr>
        <w:t>9.根据每月实际作业量、考评奖惩办法及考评结果情况经双方审核确认无误后，得出每月的服务费支付金额，每月的服 务费支付金额不得超过23.625万元/月。如根据每月实际作业量、考评奖惩办法及考评结果情况得出的服务费超过23.625万元，采购人按23.625万元结算及支付，中标人须根据采购需求和合同的要求，完成当月所发生的所有拖吊作业服务、交通保 障服务、其他清障作业及空驶的服务，不得因为结算金额按23.625万元结算而拒绝提供上述服务。如根据每月实际作业量、考评奖惩办法及考 评结果情况得出的服务费未达到23.625万，则根据每月实际作业量、考评奖惩办法及考评结果情况得出的实际服务费支付，当月剩余金额（即23.625万元减去当月实际支付金额）可作为下一个月的金额使用（即下一个月的服务费支付金额不得超过 23.625万元+上一个月的剩余金额），以此类推，但每年最终的结算金额不得超过本采购包每年的预算金额283.5万元。例如2025年1 月份根据实际作业量、考评奖惩办法及考评结果情况得出的服务费金额为26万元，采购人支付给中标人的1月份的服务费金额为23.625万元；2月份根据实际作业量、考评奖惩办法及考评结果情况得出的服务费金额为23万元，采购人支付给中标人2月份的服务费金额为23万元，2月份剩余金额为0.625万元可供3月份使用；3月份根据实际作业量、考评奖惩办法及考评结果情况得出的服务费金额为22万元，采购人支付给中标人3月的服务费金额为22万元，3月份剩余金额为1.625万元，累加2月份剩余金额0.625万元，合计2.25万元可供4月份使用。4月份根据实际作业量、考评奖惩办法及考评结果情况得出的服务费金额为29万元，采购人支付给中标人4月份的服务费金额为25.875万元（每月的最高限额23.625万元+2、3 月份累计剩余金额2.25万元），依此类推，但每年最终的结算金额不得超过本采购包每年的预算金额283.5万元。</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sz w:val="24"/>
          <w:b/>
        </w:rPr>
        <w:t>采购包2：证据保存车辆保管服务</w:t>
      </w:r>
    </w:p>
    <w:p>
      <w:pPr>
        <w:pStyle w:val="null3"/>
        <w:ind w:firstLine="422"/>
      </w:pPr>
      <w:r>
        <w:rPr>
          <w:sz w:val="24"/>
          <w:b/>
        </w:rPr>
        <w:t>一、项目概况：</w:t>
      </w:r>
    </w:p>
    <w:p>
      <w:pPr>
        <w:pStyle w:val="null3"/>
        <w:ind w:firstLine="420"/>
      </w:pPr>
      <w:r>
        <w:rPr>
          <w:sz w:val="24"/>
        </w:rPr>
        <w:t>项目属性：服务类。</w:t>
      </w:r>
    </w:p>
    <w:p>
      <w:pPr>
        <w:pStyle w:val="null3"/>
        <w:ind w:firstLine="420"/>
      </w:pPr>
      <w:r>
        <w:rPr>
          <w:sz w:val="24"/>
        </w:rPr>
        <w:t>品目类别：其他交通运输、仓储服务。</w:t>
      </w:r>
    </w:p>
    <w:p>
      <w:pPr>
        <w:pStyle w:val="null3"/>
        <w:ind w:firstLine="420"/>
        <w:jc w:val="both"/>
      </w:pPr>
      <w:r>
        <w:rPr>
          <w:sz w:val="24"/>
        </w:rPr>
        <w:t>本项目属于专门面向中小企业采购的项目。供应商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ind w:firstLine="422"/>
        <w:jc w:val="both"/>
      </w:pPr>
      <w:r>
        <w:rPr>
          <w:sz w:val="24"/>
          <w:b/>
        </w:rPr>
        <w:t>（一）采购内容</w:t>
      </w:r>
    </w:p>
    <w:p>
      <w:pPr>
        <w:pStyle w:val="null3"/>
        <w:ind w:firstLine="420"/>
      </w:pPr>
      <w:r>
        <w:rPr>
          <w:sz w:val="24"/>
        </w:rPr>
        <w:t>确定中标人为采购人提供证据保存车辆保管服务。该服务是指广州市公安局增城区分局交警大队（暨广州市公安局交通警察支队增城大队，下称“增城交警大队”）管辖道路范围内的交通违法和交通事故涉案车辆，因证据保存需要，按《中华人民共和国道路交通安全法》的规定作暂扣处理后的证据保存保管服务。所暂扣的车辆经调查、检验及核实，符合法律法规规定可以发还的车辆予以发还，其他车辆依法依规处理。</w:t>
      </w:r>
    </w:p>
    <w:p>
      <w:pPr>
        <w:pStyle w:val="null3"/>
        <w:ind w:firstLine="420"/>
      </w:pPr>
      <w:r>
        <w:rPr>
          <w:sz w:val="24"/>
        </w:rPr>
        <w:t>投标人应根据项目情况编制车场服务管理方案（①服务方案(包括但不限于服务内容及目标、机构设立、服务模式及运作流程、管理计划、服务优势与亮点等)；②车场所需设备设施的配置方案（包括但不限于车场管理系统、消防设备、监控设备、搬运工具等）；③服务人员的配置及管理方案；④车辆档案管理方案等）、场地改造方案（①设计图纸及工程量清单；②场地改造方案(包括但不限于施工组织设计、安全文明施工、完工期及实施计划等)）、车辆搬迁方案（①服务内容及目标；②车辆搬迁保障措施、完成时间及实施计划等）、安全及质量保证措施（①安全生产责任制方案（包括但不限于安全目标、场内各种安全管理规定、拖吊作业安全作业规定等）；②质量保证措施（包括但不限于质量保障承诺、服务人员安全培训、消防安全设备设施的配置、信息化手段的使用、购买保险等））、服务人员培训方案（①能提供工作人员培训及管理考核方案；②培训计划包含安防、消防、礼仪、防盗、防诈骗、人流疏散相关的专业培训）、临时性、阶段性工作及突发事件预案（包括各类突发事件应急处置机制、临时性阶段性工作预案、火灾、水淹及盗窃处置预案内容）等内容。</w:t>
      </w:r>
    </w:p>
    <w:p>
      <w:pPr>
        <w:pStyle w:val="null3"/>
        <w:ind w:firstLine="422"/>
        <w:jc w:val="both"/>
      </w:pPr>
      <w:r>
        <w:rPr>
          <w:sz w:val="24"/>
          <w:b/>
        </w:rPr>
        <w:t>（二）预算及服务期</w:t>
      </w:r>
    </w:p>
    <w:p>
      <w:pPr>
        <w:pStyle w:val="null3"/>
        <w:ind w:firstLine="420"/>
        <w:jc w:val="both"/>
      </w:pPr>
      <w:r>
        <w:rPr>
          <w:sz w:val="24"/>
        </w:rPr>
        <w:t>1、项目总预算为人民币844.75万元整（第一年549.55万元，含场地改造费95.35万元和车辆搬迁费159万元，第二年295.2万元）。</w:t>
      </w:r>
    </w:p>
    <w:p>
      <w:pPr>
        <w:pStyle w:val="null3"/>
        <w:ind w:firstLine="420"/>
        <w:jc w:val="both"/>
      </w:pPr>
      <w:r>
        <w:rPr>
          <w:sz w:val="24"/>
        </w:rPr>
        <w:t>2、服务期限：合同签订后24个月，合同服务期到期或本采购包的预算金额用完时服务合同终止。</w:t>
      </w:r>
    </w:p>
    <w:p>
      <w:pPr>
        <w:pStyle w:val="null3"/>
        <w:jc w:val="center"/>
      </w:pPr>
      <w:r>
        <w:rPr>
          <w:sz w:val="24"/>
          <w:b/>
        </w:rPr>
        <w:t>第一部分  证据保存车辆保管服务</w:t>
      </w:r>
    </w:p>
    <w:p>
      <w:pPr>
        <w:pStyle w:val="null3"/>
        <w:ind w:firstLine="422"/>
      </w:pPr>
      <w:r>
        <w:rPr>
          <w:sz w:val="24"/>
          <w:b/>
        </w:rPr>
        <w:t>一、服务要求</w:t>
      </w:r>
    </w:p>
    <w:p>
      <w:pPr>
        <w:pStyle w:val="null3"/>
        <w:ind w:firstLine="420"/>
        <w:jc w:val="both"/>
      </w:pPr>
      <w:r>
        <w:rPr>
          <w:sz w:val="24"/>
        </w:rPr>
        <w:t>（一）中标人应按照采购人的交接要求（详见《车辆接收工作规程》），为采购人提供涉案车辆及待报废未迁出车辆管理服务（包括但不限于对涉案车辆采取必要的措施确保车辆的安全及证据的完好等相关工作）。从涉案车辆进场起到完毕止，中标人承担在此期间的消防安全责任和环境安全责任，必须做好车辆的消防安全保障及环境安全保障措施。在此期间发生消防安全事故或环境安全事故的，所产生的法律和经济责任由中标人承担。</w:t>
      </w:r>
    </w:p>
    <w:p>
      <w:pPr>
        <w:pStyle w:val="null3"/>
        <w:ind w:firstLine="420"/>
        <w:jc w:val="both"/>
      </w:pPr>
      <w:r>
        <w:rPr>
          <w:sz w:val="24"/>
        </w:rPr>
        <w:t>（二）为保证保管场地有足够位置提供给采购人停放证据保存车辆，中标人每季度末必须向采购人书面报告场地实际使用面积情况。当停车场实际使用面积达到总面积的70%、 80%、90%时，中标人应立即 （最迟不超过2个工作日）向采购人书面报告（根据《城市停车规划规范》、结合实地测量车辆停放占地面积进行测算，具体测算面积标准见图1）。若采购人需要增加场地解决新入场车辆的，新增场地(即超出8.2万平方米的部分)双方需另签协议，费用另行计算不在本项目预算中支出。</w:t>
      </w:r>
    </w:p>
    <w:p>
      <w:pPr>
        <w:pStyle w:val="null3"/>
        <w:ind w:firstLine="422"/>
      </w:pPr>
      <w:r>
        <w:rPr>
          <w:sz w:val="24"/>
          <w:b/>
        </w:rPr>
        <w:t>图1</w:t>
      </w:r>
    </w:p>
    <w:tbl>
      <w:tblPr>
        <w:tblW w:w="0" w:type="auto"/>
        <w:tblBorders>
          <w:top w:val="none" w:color="000000" w:sz="4"/>
          <w:left w:val="none" w:color="000000" w:sz="4"/>
          <w:bottom w:val="none" w:color="000000" w:sz="4"/>
          <w:right w:val="none" w:color="000000" w:sz="4"/>
          <w:insideH w:val="none"/>
          <w:insideV w:val="none"/>
        </w:tblBorders>
      </w:tblPr>
      <w:tblGrid>
        <w:gridCol w:w="4100"/>
        <w:gridCol w:w="4206"/>
      </w:tblGrid>
      <w:tr>
        <w:tc>
          <w:tcPr>
            <w:tcW w:type="dxa" w:w="41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b/>
              </w:rPr>
              <w:t>车辆类型</w:t>
            </w:r>
          </w:p>
        </w:tc>
        <w:tc>
          <w:tcPr>
            <w:tcW w:type="dxa" w:w="42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b/>
              </w:rPr>
              <w:t>每辆占地面积（㎡）</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小型汽车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28</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大型汽车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85.7</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机动三轮车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7.3</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二轮电动车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1.5</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摩托车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5"/>
              <w:jc w:val="center"/>
            </w:pPr>
            <w:r>
              <w:rPr>
                <w:sz w:val="24"/>
              </w:rPr>
              <w:t>2.6</w:t>
            </w:r>
          </w:p>
        </w:tc>
      </w:tr>
    </w:tbl>
    <w:p>
      <w:pPr>
        <w:pStyle w:val="null3"/>
        <w:ind w:firstLine="420"/>
        <w:jc w:val="both"/>
      </w:pPr>
      <w:r>
        <w:rPr>
          <w:sz w:val="24"/>
        </w:rPr>
        <w:t>（三）采购人定期按照有关规定对涉案车辆进行报废处理的，中标人全力协助采购人跟进车辆报废手续。</w:t>
      </w:r>
    </w:p>
    <w:p>
      <w:pPr>
        <w:pStyle w:val="null3"/>
        <w:ind w:firstLine="420"/>
      </w:pPr>
      <w:r>
        <w:rPr>
          <w:sz w:val="24"/>
        </w:rPr>
        <w:t>（四）中标人不得向涉案车辆当事人收取任何费用。</w:t>
      </w:r>
    </w:p>
    <w:p>
      <w:pPr>
        <w:pStyle w:val="null3"/>
        <w:ind w:firstLine="420"/>
      </w:pPr>
      <w:r>
        <w:rPr>
          <w:sz w:val="24"/>
        </w:rPr>
        <w:t>（五）投标人中标后必须向采购人提供技术人员所在单位的劳动合同、毕业证书和技术职称复印件，并需提供社保证明复印书。</w:t>
      </w:r>
    </w:p>
    <w:p>
      <w:pPr>
        <w:pStyle w:val="null3"/>
        <w:ind w:firstLine="422"/>
      </w:pPr>
      <w:r>
        <w:rPr>
          <w:sz w:val="24"/>
          <w:b/>
        </w:rPr>
        <w:t>二、场地建设要求</w:t>
      </w:r>
    </w:p>
    <w:p>
      <w:pPr>
        <w:pStyle w:val="null3"/>
        <w:ind w:firstLine="420"/>
        <w:jc w:val="both"/>
      </w:pPr>
      <w:r>
        <w:rPr>
          <w:sz w:val="24"/>
        </w:rPr>
        <w:t>1、场地分布方面：采购人提供约8.2万平方米的地块，包含仙村约4.53万平方米地块、中新镇约3.2万平方米地块和派潭镇约0.47万平方米的地块；</w:t>
      </w:r>
    </w:p>
    <w:p>
      <w:pPr>
        <w:pStyle w:val="null3"/>
        <w:ind w:firstLine="420"/>
        <w:jc w:val="both"/>
      </w:pPr>
      <w:r>
        <w:rPr>
          <w:sz w:val="24"/>
        </w:rPr>
        <w:t>2、停车场地须确保涉案车辆的安全，避免涉案车辆因人为或自然原因造成车辆被盗、遗失或损（毁）坏等导致证据改变，影响取证工作，采购人提供的场地建设要求如下：</w:t>
      </w:r>
    </w:p>
    <w:p>
      <w:pPr>
        <w:pStyle w:val="null3"/>
        <w:ind w:firstLine="420"/>
        <w:jc w:val="both"/>
      </w:pPr>
      <w:r>
        <w:rPr>
          <w:sz w:val="24"/>
        </w:rPr>
        <w:t>（1）</w:t>
      </w:r>
      <w:r>
        <w:rPr>
          <w:sz w:val="24"/>
          <w:b/>
        </w:rPr>
        <w:t>所属场地及服务中队：</w:t>
      </w:r>
      <w:r>
        <w:rPr>
          <w:sz w:val="24"/>
        </w:rPr>
        <w:t>(仙村、中新镇车场）一、二、三、四、五、七、九和事故中队</w:t>
      </w:r>
    </w:p>
    <w:tbl>
      <w:tblPr>
        <w:tblW w:w="0" w:type="auto"/>
        <w:tblBorders>
          <w:top w:val="none" w:color="000000" w:sz="4"/>
          <w:left w:val="none" w:color="000000" w:sz="4"/>
          <w:bottom w:val="none" w:color="000000" w:sz="4"/>
          <w:right w:val="none" w:color="000000" w:sz="4"/>
          <w:insideH w:val="none"/>
          <w:insideV w:val="none"/>
        </w:tblBorders>
      </w:tblPr>
      <w:tblGrid>
        <w:gridCol w:w="616"/>
        <w:gridCol w:w="821"/>
        <w:gridCol w:w="1290"/>
        <w:gridCol w:w="1656"/>
        <w:gridCol w:w="806"/>
        <w:gridCol w:w="704"/>
        <w:gridCol w:w="704"/>
        <w:gridCol w:w="850"/>
        <w:gridCol w:w="777"/>
        <w:gridCol w:w="0"/>
      </w:tblGrid>
      <w:tr>
        <w:tc>
          <w:tcPr>
            <w:tcW w:type="dxa" w:w="4383"/>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场地作业板房配置要求</w:t>
            </w:r>
          </w:p>
        </w:tc>
        <w:tc>
          <w:tcPr>
            <w:tcW w:type="dxa" w:w="8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视频监控要求</w:t>
            </w:r>
          </w:p>
        </w:tc>
        <w:tc>
          <w:tcPr>
            <w:tcW w:type="dxa" w:w="7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防涝、防火要求</w:t>
            </w:r>
          </w:p>
        </w:tc>
        <w:tc>
          <w:tcPr>
            <w:tcW w:type="dxa" w:w="7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照明要求</w:t>
            </w:r>
          </w:p>
        </w:tc>
        <w:tc>
          <w:tcPr>
            <w:tcW w:type="dxa" w:w="8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围蔽要求</w:t>
            </w:r>
          </w:p>
        </w:tc>
        <w:tc>
          <w:tcPr>
            <w:tcW w:type="dxa" w:w="7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场地硬底化要求</w:t>
            </w: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配置内容</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单个场地所需面积m</w:t>
            </w:r>
            <w:r>
              <w:rPr>
                <w:sz w:val="24"/>
                <w:b/>
                <w:vertAlign w:val="superscript"/>
              </w:rPr>
              <w:t>2</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功能及具体要求</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具体要求</w:t>
            </w:r>
          </w:p>
        </w:tc>
        <w:tc>
          <w:tcPr>
            <w:tcW w:type="dxa" w:w="806"/>
            <w:vMerge/>
            <w:tcBorders>
              <w:top w:val="single" w:color="000000" w:sz="4"/>
              <w:left w:val="none" w:color="000000" w:sz="4"/>
              <w:bottom w:val="single" w:color="000000" w:sz="4"/>
              <w:right w:val="single" w:color="000000" w:sz="4"/>
            </w:tcBorders>
          </w:tcPr>
          <w:p/>
        </w:tc>
        <w:tc>
          <w:tcPr>
            <w:tcW w:type="dxa" w:w="704"/>
            <w:vMerge/>
            <w:tcBorders>
              <w:top w:val="single" w:color="000000" w:sz="4"/>
              <w:left w:val="none" w:color="000000" w:sz="4"/>
              <w:bottom w:val="single" w:color="000000" w:sz="4"/>
              <w:right w:val="single" w:color="000000" w:sz="4"/>
            </w:tcBorders>
          </w:tcPr>
          <w:p/>
        </w:tc>
        <w:tc>
          <w:tcPr>
            <w:tcW w:type="dxa" w:w="704"/>
            <w:vMerge/>
            <w:tcBorders>
              <w:top w:val="single" w:color="000000" w:sz="4"/>
              <w:left w:val="none" w:color="000000" w:sz="4"/>
              <w:bottom w:val="single" w:color="000000" w:sz="4"/>
              <w:right w:val="single" w:color="000000" w:sz="4"/>
            </w:tcBorders>
          </w:tcPr>
          <w:p/>
        </w:tc>
        <w:tc>
          <w:tcPr>
            <w:tcW w:type="dxa" w:w="850"/>
            <w:vMerge/>
            <w:tcBorders>
              <w:top w:val="single" w:color="000000" w:sz="4"/>
              <w:left w:val="none" w:color="000000" w:sz="4"/>
              <w:bottom w:val="single" w:color="000000" w:sz="4"/>
              <w:right w:val="single" w:color="000000" w:sz="4"/>
            </w:tcBorders>
          </w:tcPr>
          <w:p/>
        </w:tc>
        <w:tc>
          <w:tcPr>
            <w:tcW w:type="dxa" w:w="777"/>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门卫室（值班室）</w:t>
            </w:r>
          </w:p>
        </w:tc>
        <w:tc>
          <w:tcPr>
            <w:tcW w:type="dxa" w:w="8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配置监控设备，可实现视频实时查看及回看。</w:t>
            </w:r>
          </w:p>
        </w:tc>
        <w:tc>
          <w:tcPr>
            <w:tcW w:type="dxa" w:w="16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工作职责：主要负责场内巡逻、车辆停放指挥、车辆查找、车辆发还、门卫、守护停车场等保安服务工作。需安排2人以上24小时值守</w:t>
            </w:r>
          </w:p>
        </w:tc>
        <w:tc>
          <w:tcPr>
            <w:tcW w:type="dxa" w:w="8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所有场地（含办公室、仓库、办证窗口、遮雨棚内）均需安装足够的视频监控（需要高清摄像头并带夜视功能，确保无死角全天监控，监控视频资料至少保存3个月备查</w:t>
            </w:r>
          </w:p>
        </w:tc>
        <w:tc>
          <w:tcPr>
            <w:tcW w:type="dxa" w:w="7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防涝方面：场内周边要建设好强排水功能下水道，预防暴雨季节造成水淹车辆的情况；防火方面：场内要摆放足够的灭火设备</w:t>
            </w:r>
          </w:p>
        </w:tc>
        <w:tc>
          <w:tcPr>
            <w:tcW w:type="dxa" w:w="7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所有办公区域均需配置照明设备及必要的插座，其中停放车辆的场地必须灯光全覆盖，不能要黑暗面，平均照度需不小于50LX。</w:t>
            </w:r>
          </w:p>
        </w:tc>
        <w:tc>
          <w:tcPr>
            <w:tcW w:type="dxa" w:w="8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围墙均需设置刀刺网，对于离地高度不够2.5米的实体墙，需实体加高至2米后可另行用三层直拉式刀刺网加高至2.5米以上；除了大门外其他所有缺口均需进行实体围蔽至2米，然后另行用三层直拉式刀刺网加高至2.5米以上。</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所有泥地地面（水泥地面除外）均需铺垫10CM以上的碎石垫层（碎石规格为0.8CM大少）</w:t>
            </w:r>
          </w:p>
        </w:tc>
        <w:tc>
          <w:tcPr>
            <w:tcW w:type="dxa" w:w="0"/>
            <w:tcBorders>
              <w:top w:val="none" w:color="000000" w:sz="4"/>
              <w:left w:val="none" w:color="000000" w:sz="4"/>
              <w:bottom w:val="none" w:color="000000" w:sz="4"/>
              <w:right w:val="non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21"/>
            <w:vMerge/>
            <w:tcBorders>
              <w:top w:val="none" w:color="000000" w:sz="4"/>
              <w:left w:val="none" w:color="000000" w:sz="4"/>
              <w:bottom w:val="single" w:color="000000" w:sz="4"/>
              <w:right w:val="single" w:color="000000" w:sz="4"/>
            </w:tcBorders>
          </w:tcPr>
          <w:p/>
        </w:tc>
        <w:tc>
          <w:tcPr>
            <w:tcW w:type="dxa" w:w="1290"/>
            <w:vMerge/>
            <w:tcBorders>
              <w:top w:val="none" w:color="000000" w:sz="4"/>
              <w:left w:val="none" w:color="000000" w:sz="4"/>
              <w:bottom w:val="single" w:color="000000" w:sz="4"/>
              <w:right w:val="single" w:color="000000" w:sz="4"/>
            </w:tcBorders>
          </w:tcPr>
          <w:p/>
        </w:tc>
        <w:tc>
          <w:tcPr>
            <w:tcW w:type="dxa" w:w="1656"/>
            <w:vMerge/>
            <w:tcBorders>
              <w:top w:val="none" w:color="000000" w:sz="4"/>
              <w:left w:val="non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21"/>
            <w:vMerge/>
            <w:tcBorders>
              <w:top w:val="none" w:color="000000" w:sz="4"/>
              <w:left w:val="none" w:color="000000" w:sz="4"/>
              <w:bottom w:val="single" w:color="000000" w:sz="4"/>
              <w:right w:val="single" w:color="000000" w:sz="4"/>
            </w:tcBorders>
          </w:tcPr>
          <w:p/>
        </w:tc>
        <w:tc>
          <w:tcPr>
            <w:tcW w:type="dxa" w:w="1290"/>
            <w:vMerge/>
            <w:tcBorders>
              <w:top w:val="none" w:color="000000" w:sz="4"/>
              <w:left w:val="none" w:color="000000" w:sz="4"/>
              <w:bottom w:val="single" w:color="000000" w:sz="4"/>
              <w:right w:val="single" w:color="000000" w:sz="4"/>
            </w:tcBorders>
          </w:tcPr>
          <w:p/>
        </w:tc>
        <w:tc>
          <w:tcPr>
            <w:tcW w:type="dxa" w:w="1656"/>
            <w:vMerge/>
            <w:tcBorders>
              <w:top w:val="none" w:color="000000" w:sz="4"/>
              <w:left w:val="non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办公室（资料室）</w:t>
            </w:r>
          </w:p>
        </w:tc>
        <w:tc>
          <w:tcPr>
            <w:tcW w:type="dxa" w:w="8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6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可作为各中队驻场工作人员日常工作使用。</w:t>
            </w: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21"/>
            <w:vMerge/>
            <w:tcBorders>
              <w:top w:val="none" w:color="000000" w:sz="4"/>
              <w:left w:val="none" w:color="000000" w:sz="4"/>
              <w:bottom w:val="single" w:color="000000" w:sz="4"/>
              <w:right w:val="single" w:color="000000" w:sz="4"/>
            </w:tcBorders>
          </w:tcPr>
          <w:p/>
        </w:tc>
        <w:tc>
          <w:tcPr>
            <w:tcW w:type="dxa" w:w="1290"/>
            <w:vMerge/>
            <w:tcBorders>
              <w:top w:val="none" w:color="000000" w:sz="4"/>
              <w:left w:val="none" w:color="000000" w:sz="4"/>
              <w:bottom w:val="single" w:color="000000" w:sz="4"/>
              <w:right w:val="single" w:color="000000" w:sz="4"/>
            </w:tcBorders>
          </w:tcPr>
          <w:p/>
        </w:tc>
        <w:tc>
          <w:tcPr>
            <w:tcW w:type="dxa" w:w="1656"/>
            <w:vMerge/>
            <w:tcBorders>
              <w:top w:val="none" w:color="000000" w:sz="4"/>
              <w:left w:val="none" w:color="000000" w:sz="4"/>
              <w:bottom w:val="single" w:color="000000" w:sz="4"/>
              <w:right w:val="single" w:color="000000" w:sz="4"/>
            </w:tcBorders>
          </w:tcP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日常对进出场车辆进行登记（包括电子台账和纸质台账），可随时查看和统计在场车辆数据。</w:t>
            </w: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配置冲凉房和洗手间等生活用房</w:t>
            </w: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餐厅（含厨房）</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餐厅的基本装修，水电煤接通，能直接使用。</w:t>
            </w: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分隔成5间30平方的小房间，满足分类对方物品（包括五类车电池、钥匙等）条件</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设置不少于2间以上存放五类车电池的仓库</w:t>
            </w: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遮雨棚</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仙村车场4·5米高的100平方，3米高的300平方；中新车场4·5米高的150平方，3米高的250平方遮雨铁硼，用于保护事故车辆的痕迹被雨水破坏和保障后期勘查取证工作开展</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搭建的雨棚必须牢固（可抗衡12级台风的风力，确保暴风雨期间车棚内的人车安全。</w:t>
            </w: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795</w:t>
            </w:r>
          </w:p>
        </w:tc>
        <w:tc>
          <w:tcPr>
            <w:tcW w:type="dxa" w:w="294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6"/>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704"/>
            <w:vMerge/>
            <w:tcBorders>
              <w:top w:val="none" w:color="000000" w:sz="4"/>
              <w:left w:val="non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bl>
    <w:p>
      <w:pPr>
        <w:pStyle w:val="null3"/>
        <w:ind w:firstLine="420"/>
        <w:jc w:val="both"/>
      </w:pPr>
      <w:r>
        <w:rPr>
          <w:sz w:val="24"/>
        </w:rPr>
        <w:t>（2）所属场地及服务中队：（派潭镇车场）六中队</w:t>
      </w:r>
    </w:p>
    <w:tbl>
      <w:tblPr>
        <w:tblW w:w="0" w:type="auto"/>
        <w:tblBorders>
          <w:top w:val="none" w:color="000000" w:sz="4"/>
          <w:left w:val="none" w:color="000000" w:sz="4"/>
          <w:bottom w:val="none" w:color="000000" w:sz="4"/>
          <w:right w:val="none" w:color="000000" w:sz="4"/>
          <w:insideH w:val="none"/>
          <w:insideV w:val="none"/>
        </w:tblBorders>
      </w:tblPr>
      <w:tblGrid>
        <w:gridCol w:w="673"/>
        <w:gridCol w:w="673"/>
        <w:gridCol w:w="1535"/>
        <w:gridCol w:w="1389"/>
        <w:gridCol w:w="951"/>
        <w:gridCol w:w="834"/>
        <w:gridCol w:w="687"/>
        <w:gridCol w:w="848"/>
        <w:gridCol w:w="717"/>
        <w:gridCol w:w="0"/>
      </w:tblGrid>
      <w:tr>
        <w:tc>
          <w:tcPr>
            <w:tcW w:type="dxa" w:w="4270"/>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单个场地作业板房配置要求</w:t>
            </w:r>
          </w:p>
        </w:tc>
        <w:tc>
          <w:tcPr>
            <w:tcW w:type="dxa" w:w="9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视频监控要求</w:t>
            </w:r>
          </w:p>
        </w:tc>
        <w:tc>
          <w:tcPr>
            <w:tcW w:type="dxa" w:w="8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防涝、防火要求</w:t>
            </w:r>
          </w:p>
        </w:tc>
        <w:tc>
          <w:tcPr>
            <w:tcW w:type="dxa" w:w="6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照明要求</w:t>
            </w:r>
          </w:p>
        </w:tc>
        <w:tc>
          <w:tcPr>
            <w:tcW w:type="dxa" w:w="8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围蔽要求</w:t>
            </w:r>
          </w:p>
        </w:tc>
        <w:tc>
          <w:tcPr>
            <w:tcW w:type="dxa" w:w="7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场地硬底化要求</w:t>
            </w: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配置内容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单个场地所需面积m</w:t>
            </w:r>
            <w:r>
              <w:rPr>
                <w:sz w:val="24"/>
                <w:b/>
                <w:vertAlign w:val="superscript"/>
              </w:rPr>
              <w:t>2</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功能及具体要求</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具体要求</w:t>
            </w:r>
          </w:p>
        </w:tc>
        <w:tc>
          <w:tcPr>
            <w:tcW w:type="dxa" w:w="951"/>
            <w:vMerge/>
            <w:tcBorders>
              <w:top w:val="single" w:color="000000" w:sz="4"/>
              <w:left w:val="none" w:color="000000" w:sz="4"/>
              <w:bottom w:val="single" w:color="000000" w:sz="4"/>
              <w:right w:val="single" w:color="000000" w:sz="4"/>
            </w:tcBorders>
          </w:tcPr>
          <w:p/>
        </w:tc>
        <w:tc>
          <w:tcPr>
            <w:tcW w:type="dxa" w:w="834"/>
            <w:vMerge/>
            <w:tcBorders>
              <w:top w:val="single" w:color="000000" w:sz="4"/>
              <w:left w:val="none" w:color="000000" w:sz="4"/>
              <w:bottom w:val="single" w:color="000000" w:sz="4"/>
              <w:right w:val="single" w:color="000000" w:sz="4"/>
            </w:tcBorders>
          </w:tcPr>
          <w:p/>
        </w:tc>
        <w:tc>
          <w:tcPr>
            <w:tcW w:type="dxa" w:w="687"/>
            <w:vMerge/>
            <w:tcBorders>
              <w:top w:val="single" w:color="000000" w:sz="4"/>
              <w:left w:val="none" w:color="000000" w:sz="4"/>
              <w:bottom w:val="single" w:color="000000" w:sz="4"/>
              <w:right w:val="single" w:color="000000" w:sz="4"/>
            </w:tcBorders>
          </w:tcPr>
          <w:p/>
        </w:tc>
        <w:tc>
          <w:tcPr>
            <w:tcW w:type="dxa" w:w="848"/>
            <w:vMerge/>
            <w:tcBorders>
              <w:top w:val="single" w:color="000000" w:sz="4"/>
              <w:left w:val="none" w:color="000000" w:sz="4"/>
              <w:bottom w:val="single" w:color="000000" w:sz="4"/>
              <w:right w:val="single" w:color="000000" w:sz="4"/>
            </w:tcBorders>
          </w:tcPr>
          <w:p/>
        </w:tc>
        <w:tc>
          <w:tcPr>
            <w:tcW w:type="dxa" w:w="717"/>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门卫室（值班室）</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5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配置监控设备，可实现视频实时查看及回看。</w:t>
            </w:r>
          </w:p>
        </w:tc>
        <w:tc>
          <w:tcPr>
            <w:tcW w:type="dxa" w:w="1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工作职责：主要负责场内巡逻、车辆停放指挥、车辆查找、车辆发还、门卫、守护停车场等保安服务工作。需安排2人以上24小时值守</w:t>
            </w:r>
          </w:p>
        </w:tc>
        <w:tc>
          <w:tcPr>
            <w:tcW w:type="dxa" w:w="9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所有场地（含办公室、仓库、办证窗口、遮雨棚内）均需安装足够的视频监控（需要高清摄像头并带夜视功能，确保无死角全天监控，监控视频资料至少保存3个月备查</w:t>
            </w:r>
          </w:p>
        </w:tc>
        <w:tc>
          <w:tcPr>
            <w:tcW w:type="dxa" w:w="8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防涝方面：场内周边要建设好强排水功能下水道，预防暴雨季节造成水淹车辆的情况；防火方面：场内要摆放足够的灭火设备</w:t>
            </w:r>
          </w:p>
        </w:tc>
        <w:tc>
          <w:tcPr>
            <w:tcW w:type="dxa" w:w="6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所有办公区域均需配置照明设备及必要的插座，其中停放车辆的场地必须灯光全覆盖，不能要黑暗面，平均照度需不小于50LX。</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对于离地高度不够2.5米的实体墙，需实体加高至2米后可另行用三层直拉式刀刺网加高至2.5米以上；除了大门外其他所有缺口均需进行实体围蔽至2米，然后另行用三层直拉式刀刺网加高至2.5米以上。</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所有泥地地面（水泥地面除外）均需铺垫5CM以上的碎石垫层（碎石规格为0.8CM大少）</w:t>
            </w:r>
          </w:p>
        </w:tc>
        <w:tc>
          <w:tcPr>
            <w:tcW w:type="dxa" w:w="0"/>
            <w:tcBorders>
              <w:top w:val="none" w:color="000000" w:sz="4"/>
              <w:left w:val="none" w:color="000000" w:sz="4"/>
              <w:bottom w:val="none" w:color="000000" w:sz="4"/>
              <w:right w:val="none" w:color="000000" w:sz="4"/>
            </w:tcBorders>
          </w:tcPr>
          <w:p/>
        </w:tc>
      </w:tr>
      <w:tr>
        <w:tc>
          <w:tcPr>
            <w:tcW w:type="dxa" w:w="673"/>
            <w:vMerge/>
            <w:tcBorders>
              <w:top w:val="none" w:color="000000" w:sz="4"/>
              <w:left w:val="singl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1389"/>
            <w:vMerge/>
            <w:tcBorders>
              <w:top w:val="none" w:color="000000" w:sz="4"/>
              <w:left w:val="none" w:color="000000" w:sz="4"/>
              <w:bottom w:val="single" w:color="000000" w:sz="4"/>
              <w:right w:val="single" w:color="000000" w:sz="4"/>
            </w:tcBorders>
          </w:tcP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tcBorders>
              <w:top w:val="none" w:color="000000" w:sz="4"/>
              <w:left w:val="singl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1389"/>
            <w:vMerge/>
            <w:tcBorders>
              <w:top w:val="none" w:color="000000" w:sz="4"/>
              <w:left w:val="none" w:color="000000" w:sz="4"/>
              <w:bottom w:val="single" w:color="000000" w:sz="4"/>
              <w:right w:val="single" w:color="000000" w:sz="4"/>
            </w:tcBorders>
          </w:tcP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办证窗口（含资料室、办公室）</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5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办证窗口日常对进出场车辆进行登记（包括电子台账和纸质台账），可随时查看和统计在场车辆数据。可作为各中队驻场工作人员日常工作使用。</w:t>
            </w: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tcBorders>
              <w:top w:val="none" w:color="000000" w:sz="4"/>
              <w:left w:val="singl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1535"/>
            <w:vMerge/>
            <w:tcBorders>
              <w:top w:val="none" w:color="000000" w:sz="4"/>
              <w:left w:val="none" w:color="000000" w:sz="4"/>
              <w:bottom w:val="single" w:color="000000" w:sz="4"/>
              <w:right w:val="single" w:color="000000" w:sz="4"/>
            </w:tcBorders>
          </w:tcPr>
          <w:p/>
        </w:tc>
        <w:tc>
          <w:tcPr>
            <w:tcW w:type="dxa" w:w="1389"/>
            <w:vMerge/>
            <w:tcBorders>
              <w:top w:val="none" w:color="000000" w:sz="4"/>
              <w:left w:val="none" w:color="000000" w:sz="4"/>
              <w:bottom w:val="single" w:color="000000" w:sz="4"/>
              <w:right w:val="single" w:color="000000" w:sz="4"/>
            </w:tcBorders>
          </w:tcP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可用原有房屋</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配置冲凉房和洗手间等生活用房</w:t>
            </w: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餐厅（含厨房）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餐厅的基本装修，水电煤接通，能直接使用。</w:t>
            </w: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可用原有房屋</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满足分类对方物品（包括五类车电池、钥匙等）条件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设置不少于2间以上存放五类车电池的仓库</w:t>
            </w: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遮雨棚</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可对现有的雨棚进行改造</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需设置至少200平方离地距离3米以上的遮雨铁硼，用于保护事故车辆的痕迹被雨水破坏和保障后期勘查取证工作开展</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搭建的雨棚必须牢固（可抗衡12级台风的风力，确保暴风雨期间车棚内的人车安全。</w:t>
            </w: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bl>
    <w:p>
      <w:pPr>
        <w:pStyle w:val="null3"/>
      </w:pPr>
      <w:r>
        <w:rPr>
          <w:sz w:val="24"/>
        </w:rPr>
        <w:t>对于采购人提供的约8.2万平方米场地，自签订合同后20天内，中标人需按上述建设要求完成建设并通过验收，保证能提供给采购人使用，维护管理及建设产生的费用由中标人负责。上述场地改造所建设的内容和购置的设备物品权属归采购人，服务期结束后中标人原封不动保留在场地内，采购人按验收清单核验。</w:t>
      </w:r>
    </w:p>
    <w:p>
      <w:pPr>
        <w:pStyle w:val="null3"/>
        <w:ind w:firstLine="420"/>
        <w:jc w:val="both"/>
      </w:pPr>
      <w:r>
        <w:rPr>
          <w:sz w:val="24"/>
        </w:rPr>
        <w:t>3、如投标人不具备场地建设的资质，该部分内容可实施分包，投标时需明确分包供应商的相关信息（包括但不限于营业执照、施工资质等），需提供场地建设的设计方案（必要的图文和清单）及施工组织方案。</w:t>
      </w:r>
    </w:p>
    <w:p>
      <w:pPr>
        <w:pStyle w:val="null3"/>
        <w:ind w:firstLine="422"/>
      </w:pPr>
      <w:r>
        <w:rPr>
          <w:sz w:val="24"/>
          <w:b/>
        </w:rPr>
        <w:t>三、场地管理要求</w:t>
      </w:r>
    </w:p>
    <w:p>
      <w:pPr>
        <w:pStyle w:val="null3"/>
        <w:ind w:firstLine="420"/>
        <w:jc w:val="both"/>
      </w:pPr>
      <w:r>
        <w:rPr>
          <w:sz w:val="24"/>
        </w:rPr>
        <w:t>1、采购人采用统筹安排、集中管理的原则，将所有场地划分为若干个区域，以各中队实际扣车数量比例合理分配场地，并按照涉案车辆暂扣性质、车辆类型以及进场顺序实施分区管理。供应商应当在收到采购人提供的场地区域面积分配计划后15日内，将制定的场地区域划分平面图提交采购人审定，并在采购人审定后15日内，使用明显的标牌标线以区分不同区域。</w:t>
      </w:r>
    </w:p>
    <w:p>
      <w:pPr>
        <w:pStyle w:val="null3"/>
        <w:ind w:firstLine="420"/>
        <w:jc w:val="both"/>
      </w:pPr>
      <w:r>
        <w:rPr>
          <w:sz w:val="24"/>
        </w:rPr>
        <w:t>2、中标人应采取必要措施对暂扣车辆的随车物品进行临时保管。小件随车物品应当在登记、拍照、编号后纳入随车物品保管室管理。中标人还应当提供必要的车辆充电以及打气等免费服务。</w:t>
      </w:r>
    </w:p>
    <w:p>
      <w:pPr>
        <w:pStyle w:val="null3"/>
        <w:ind w:firstLine="420"/>
        <w:jc w:val="both"/>
      </w:pPr>
      <w:r>
        <w:rPr>
          <w:sz w:val="24"/>
        </w:rPr>
        <w:t>3、中标人应当按照采购人要求对相关车辆汽油进行抽取、登记，并按照有关规定要求依法妥善保管，配合采购人按照涉案财物管理等规定依法处理。严格规范填写《车场汽油跟踪表》，出入库必须登记完善，且由专人每天负责检查台账登记情况，确保数据完善、准确。</w:t>
      </w:r>
    </w:p>
    <w:p>
      <w:pPr>
        <w:pStyle w:val="null3"/>
        <w:ind w:firstLine="420"/>
        <w:jc w:val="both"/>
      </w:pPr>
      <w:r>
        <w:rPr>
          <w:sz w:val="24"/>
        </w:rPr>
        <w:t>4、中标人应当按照采购人要求对进场非汽车类机动车及非机动车的电动车辆的电池进行拆除，并编制序号依法妥善保管；严格规范填写《车场“非汽车类机动车及非机动车”电池处置跟踪表》，出入库必须登记完善，且由专人每天负责检查台账登记情况，确保数据完善、准确。</w:t>
      </w:r>
    </w:p>
    <w:p>
      <w:pPr>
        <w:pStyle w:val="null3"/>
        <w:ind w:firstLine="420"/>
        <w:jc w:val="both"/>
      </w:pPr>
      <w:r>
        <w:rPr>
          <w:sz w:val="24"/>
        </w:rPr>
        <w:t>5、各场地应履行信息公开制度，在业务办理窗口以及场地入口显著位置悬挂公示办理流程、注意事项、投诉电话、工作人员信息、不收费承诺等相关内容的公示标牌。</w:t>
      </w:r>
    </w:p>
    <w:p>
      <w:pPr>
        <w:pStyle w:val="null3"/>
        <w:ind w:firstLine="420"/>
        <w:jc w:val="both"/>
      </w:pPr>
      <w:r>
        <w:rPr>
          <w:sz w:val="24"/>
        </w:rPr>
        <w:t>6、中标人须按照1万平方米不少于400万保额的标准购买保险，以保证如遇到涉案车辆遭受损失时能及时赔付，保证赔付能力。</w:t>
      </w:r>
    </w:p>
    <w:p>
      <w:pPr>
        <w:pStyle w:val="null3"/>
        <w:ind w:firstLine="420"/>
        <w:jc w:val="both"/>
      </w:pPr>
      <w:r>
        <w:rPr>
          <w:sz w:val="24"/>
        </w:rPr>
        <w:t>7、车辆挪移设备：为保证涉案车辆整齐归位停放，每个场地均需配备至少1台叉车或挪车设备，用于车辆日常挪移工作。</w:t>
      </w:r>
    </w:p>
    <w:p>
      <w:pPr>
        <w:pStyle w:val="null3"/>
        <w:ind w:firstLine="420"/>
        <w:jc w:val="both"/>
      </w:pPr>
      <w:r>
        <w:rPr>
          <w:sz w:val="24"/>
        </w:rPr>
        <w:t>8、场地中所需的设施设备由中标人负责（并承担相关费用）：</w:t>
      </w:r>
    </w:p>
    <w:tbl>
      <w:tblPr>
        <w:tblW w:w="0" w:type="auto"/>
        <w:tblBorders>
          <w:top w:val="none" w:color="000000" w:sz="4"/>
          <w:left w:val="none" w:color="000000" w:sz="4"/>
          <w:bottom w:val="none" w:color="000000" w:sz="4"/>
          <w:right w:val="none" w:color="000000" w:sz="4"/>
          <w:insideH w:val="none"/>
          <w:insideV w:val="none"/>
        </w:tblBorders>
      </w:tblPr>
      <w:tblGrid>
        <w:gridCol w:w="1901"/>
        <w:gridCol w:w="3173"/>
        <w:gridCol w:w="3232"/>
        <w:gridCol w:w="0"/>
      </w:tblGrid>
      <w:tr>
        <w:tc>
          <w:tcPr>
            <w:tcW w:type="dxa" w:w="190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6405"/>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功能及具体要求</w:t>
            </w:r>
          </w:p>
        </w:tc>
        <w:tc>
          <w:tcPr>
            <w:tcW w:type="dxa" w:w="0"/>
            <w:tcBorders>
              <w:top w:val="none" w:color="000000" w:sz="4"/>
              <w:left w:val="none" w:color="000000" w:sz="4"/>
              <w:bottom w:val="none" w:color="000000" w:sz="4"/>
              <w:right w:val="none" w:color="000000" w:sz="4"/>
            </w:tcBorders>
          </w:tcPr>
          <w:p/>
        </w:tc>
      </w:tr>
      <w:tr>
        <w:tc>
          <w:tcPr>
            <w:tcW w:type="dxa" w:w="1901"/>
            <w:vMerge/>
            <w:tcBorders>
              <w:top w:val="single" w:color="000000" w:sz="4"/>
              <w:left w:val="single" w:color="000000" w:sz="4"/>
              <w:bottom w:val="single" w:color="000000" w:sz="4"/>
              <w:right w:val="single" w:color="000000" w:sz="4"/>
            </w:tcBorders>
          </w:tcP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仙村、中新车场</w:t>
            </w:r>
          </w:p>
        </w:tc>
        <w:tc>
          <w:tcPr>
            <w:tcW w:type="dxa" w:w="3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派潭车场</w:t>
            </w:r>
          </w:p>
        </w:tc>
        <w:tc>
          <w:tcPr>
            <w:tcW w:type="dxa" w:w="0"/>
            <w:tcBorders>
              <w:top w:val="none" w:color="000000" w:sz="4"/>
              <w:left w:val="none" w:color="000000" w:sz="4"/>
              <w:bottom w:val="none" w:color="000000" w:sz="4"/>
              <w:right w:val="none" w:color="000000" w:sz="4"/>
            </w:tcBorders>
          </w:tcPr>
          <w:p/>
        </w:tc>
      </w:tr>
      <w:tr>
        <w:tc>
          <w:tcPr>
            <w:tcW w:type="dxa" w:w="19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门卫室（值班室）</w:t>
            </w:r>
          </w:p>
        </w:tc>
        <w:tc>
          <w:tcPr>
            <w:tcW w:type="dxa" w:w="31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坐岗桌椅及3张双层木床。硬件配置：配备钢叉、长棍、盾牌、防刺背心。</w:t>
            </w:r>
          </w:p>
        </w:tc>
        <w:tc>
          <w:tcPr>
            <w:tcW w:type="dxa" w:w="3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坐岗桌椅及1张双层木床。</w:t>
            </w:r>
          </w:p>
          <w:p>
            <w:pPr>
              <w:pStyle w:val="null3"/>
              <w:jc w:val="center"/>
            </w:pPr>
            <w:r>
              <w:rPr>
                <w:sz w:val="24"/>
              </w:rPr>
              <w:t>硬件配置：配备钢叉、长棍、盾牌、防刺背心。</w:t>
            </w:r>
          </w:p>
        </w:tc>
        <w:tc>
          <w:tcPr>
            <w:tcW w:type="dxa" w:w="0"/>
            <w:tcBorders>
              <w:top w:val="none" w:color="000000" w:sz="4"/>
              <w:left w:val="none" w:color="000000" w:sz="4"/>
              <w:bottom w:val="none" w:color="000000" w:sz="4"/>
              <w:right w:val="none" w:color="000000" w:sz="4"/>
            </w:tcBorders>
          </w:tcPr>
          <w:p/>
        </w:tc>
      </w:tr>
      <w:tr>
        <w:tc>
          <w:tcPr>
            <w:tcW w:type="dxa" w:w="1901"/>
            <w:vMerge/>
            <w:tcBorders>
              <w:top w:val="none" w:color="000000" w:sz="4"/>
              <w:left w:val="single" w:color="000000" w:sz="4"/>
              <w:bottom w:val="single" w:color="000000" w:sz="4"/>
              <w:right w:val="single" w:color="000000" w:sz="4"/>
            </w:tcBorders>
          </w:tcPr>
          <w:p/>
        </w:tc>
        <w:tc>
          <w:tcPr>
            <w:tcW w:type="dxa" w:w="3173"/>
            <w:vMerge/>
            <w:tcBorders>
              <w:top w:val="none" w:color="000000" w:sz="4"/>
              <w:left w:val="none" w:color="000000" w:sz="4"/>
              <w:bottom w:val="single" w:color="000000" w:sz="4"/>
              <w:right w:val="single" w:color="000000" w:sz="4"/>
            </w:tcBorders>
          </w:tcPr>
          <w:p/>
        </w:tc>
        <w:tc>
          <w:tcPr>
            <w:tcW w:type="dxa" w:w="323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1901"/>
            <w:vMerge/>
            <w:tcBorders>
              <w:top w:val="none" w:color="000000" w:sz="4"/>
              <w:left w:val="single" w:color="000000" w:sz="4"/>
              <w:bottom w:val="single" w:color="000000" w:sz="4"/>
              <w:right w:val="single" w:color="000000" w:sz="4"/>
            </w:tcBorders>
          </w:tcPr>
          <w:p/>
        </w:tc>
        <w:tc>
          <w:tcPr>
            <w:tcW w:type="dxa" w:w="3173"/>
            <w:vMerge/>
            <w:tcBorders>
              <w:top w:val="none" w:color="000000" w:sz="4"/>
              <w:left w:val="none" w:color="000000" w:sz="4"/>
              <w:bottom w:val="single" w:color="000000" w:sz="4"/>
              <w:right w:val="single" w:color="000000" w:sz="4"/>
            </w:tcBorders>
          </w:tcPr>
          <w:p/>
        </w:tc>
        <w:tc>
          <w:tcPr>
            <w:tcW w:type="dxa" w:w="323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19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办公室（资料室）</w:t>
            </w:r>
          </w:p>
        </w:tc>
        <w:tc>
          <w:tcPr>
            <w:tcW w:type="dxa" w:w="31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二张以上办公桌椅、20个档案柜，至少1台电脑及一台彩色打印机（需制作一车一档及台账）。</w:t>
            </w:r>
            <w:r>
              <w:rPr>
                <w:sz w:val="24"/>
              </w:rPr>
              <w:t>需为各中队提供日常制作一车一档的纸张、拓印纸和打印机墨盒等办公耗材。</w:t>
            </w:r>
          </w:p>
        </w:tc>
        <w:tc>
          <w:tcPr>
            <w:tcW w:type="dxa" w:w="3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二张以上办公桌椅、5个档案柜，至少2台电脑及一台彩色打印机（用于日常车辆放行、车辆出入登记统计及制作一车一档及台账等）。需为各中队提供日常制作一车一档的纸张、拓印纸和打印机墨盒等办公耗材。</w:t>
            </w:r>
          </w:p>
        </w:tc>
        <w:tc>
          <w:tcPr>
            <w:tcW w:type="dxa" w:w="0"/>
            <w:tcBorders>
              <w:top w:val="none" w:color="000000" w:sz="4"/>
              <w:left w:val="none" w:color="000000" w:sz="4"/>
              <w:bottom w:val="none" w:color="000000" w:sz="4"/>
              <w:right w:val="none" w:color="000000" w:sz="4"/>
            </w:tcBorders>
          </w:tcPr>
          <w:p/>
        </w:tc>
      </w:tr>
      <w:tr>
        <w:tc>
          <w:tcPr>
            <w:tcW w:type="dxa" w:w="1901"/>
            <w:vMerge/>
            <w:tcBorders>
              <w:top w:val="none" w:color="000000" w:sz="4"/>
              <w:left w:val="single" w:color="000000" w:sz="4"/>
              <w:bottom w:val="single" w:color="000000" w:sz="4"/>
              <w:right w:val="single" w:color="000000" w:sz="4"/>
            </w:tcBorders>
          </w:tcPr>
          <w:p/>
        </w:tc>
        <w:tc>
          <w:tcPr>
            <w:tcW w:type="dxa" w:w="3173"/>
            <w:vMerge/>
            <w:tcBorders>
              <w:top w:val="none" w:color="000000" w:sz="4"/>
              <w:left w:val="none" w:color="000000" w:sz="4"/>
              <w:bottom w:val="single" w:color="000000" w:sz="4"/>
              <w:right w:val="single" w:color="000000" w:sz="4"/>
            </w:tcBorders>
          </w:tcPr>
          <w:p/>
        </w:tc>
        <w:tc>
          <w:tcPr>
            <w:tcW w:type="dxa" w:w="323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w:t>
            </w: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至少放置2台电脑及一台打印机</w:t>
            </w:r>
          </w:p>
        </w:tc>
        <w:tc>
          <w:tcPr>
            <w:tcW w:type="dxa" w:w="3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tc>
      </w:tr>
      <w:tr>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w:t>
            </w: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能满足10至15人住宿的各项功能及设施</w:t>
            </w:r>
          </w:p>
        </w:tc>
        <w:tc>
          <w:tcPr>
            <w:tcW w:type="dxa" w:w="3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能满足6至8人住宿的各项功能及设施</w:t>
            </w:r>
          </w:p>
        </w:tc>
        <w:tc>
          <w:tcPr>
            <w:tcW w:type="dxa" w:w="0"/>
            <w:tcBorders>
              <w:top w:val="none" w:color="000000" w:sz="4"/>
              <w:left w:val="none" w:color="000000" w:sz="4"/>
              <w:bottom w:val="none" w:color="000000" w:sz="4"/>
              <w:right w:val="none" w:color="000000" w:sz="4"/>
            </w:tcBorders>
          </w:tcPr>
          <w:p/>
        </w:tc>
      </w:tr>
      <w:tr>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餐厅（含厨房）</w:t>
            </w: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能满足10至15人同时就餐的各项设施及厨房设备及用品。配置餐桌椅、炉具、碗筷等。</w:t>
            </w:r>
          </w:p>
        </w:tc>
        <w:tc>
          <w:tcPr>
            <w:tcW w:type="dxa" w:w="3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能满足6至8人同时就餐的各项设施及厨房设备及用品。配置餐桌椅、炉具、碗筷等。</w:t>
            </w:r>
          </w:p>
        </w:tc>
        <w:tc>
          <w:tcPr>
            <w:tcW w:type="dxa" w:w="0"/>
            <w:tcBorders>
              <w:top w:val="none" w:color="000000" w:sz="4"/>
              <w:left w:val="none" w:color="000000" w:sz="4"/>
              <w:bottom w:val="none" w:color="000000" w:sz="4"/>
              <w:right w:val="none" w:color="000000" w:sz="4"/>
            </w:tcBorders>
          </w:tcPr>
          <w:p/>
        </w:tc>
      </w:tr>
      <w:tr>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w:t>
            </w: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（1）每间房间需配置能同时放置8000辆车辆钥匙的带锁铁柜（需按中队、车型分隔摆放和保管）</w:t>
            </w:r>
          </w:p>
          <w:p>
            <w:pPr>
              <w:pStyle w:val="null3"/>
              <w:jc w:val="left"/>
            </w:pPr>
            <w:r>
              <w:rPr>
                <w:sz w:val="24"/>
              </w:rPr>
              <w:t>（2）为防止电池高温爆燃，需配置空调设备，保持室内温度26度以下，同时需配备货架进行存放电池，电池之间不可以叠放，只能单层平放。</w:t>
            </w:r>
          </w:p>
        </w:tc>
        <w:tc>
          <w:tcPr>
            <w:tcW w:type="dxa" w:w="3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（1）每间房间需配置用于存放车辆钥匙的带锁铁柜（需按车型分隔摆放和保管）</w:t>
            </w:r>
          </w:p>
          <w:p>
            <w:pPr>
              <w:pStyle w:val="null3"/>
              <w:jc w:val="left"/>
            </w:pPr>
            <w:r>
              <w:rPr>
                <w:sz w:val="24"/>
              </w:rPr>
              <w:t>（2）为防止电池高温爆燃，需配置空调设备，保持室内温度26度以下，同时需配备货架进行存放电池，电池之间不可以叠放，只能单层平放。</w:t>
            </w:r>
          </w:p>
        </w:tc>
        <w:tc>
          <w:tcPr>
            <w:tcW w:type="dxa" w:w="0"/>
            <w:tcBorders>
              <w:top w:val="none" w:color="000000" w:sz="4"/>
              <w:left w:val="none" w:color="000000" w:sz="4"/>
              <w:bottom w:val="none" w:color="000000" w:sz="4"/>
              <w:right w:val="none" w:color="000000" w:sz="4"/>
            </w:tcBorders>
          </w:tcP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所有办公区域均需配置空调设备。</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ind w:firstLine="420"/>
        <w:jc w:val="both"/>
      </w:pPr>
      <w:r>
        <w:rPr>
          <w:sz w:val="24"/>
        </w:rPr>
        <w:t>9、中标人应将涉案车辆具体信息通过采购人开发的涉案车辆管理系统进行录入（每个停车场至少要配备4台安装了采购人开发的涉案车辆管理系统的安卓手机给的车场管理人员使用，包括车辆入场、离场或放行等流程均需由车场管理人员如实录入涉案车辆管理系统。）,按照要求建立纸质档案和车辆电子档案以备采购人监管人员随时查用，各车场应配备足够的人员、设备和日常办公耗材（包括拓印工具、拓印纸、电脑及打印机、打印纸、办公桌椅等），按照采购人要求协助做好涉案车辆一车一档的（包括拓印、拍照、资料录入、纸质归档等）建档工作。</w:t>
      </w:r>
    </w:p>
    <w:p>
      <w:pPr>
        <w:pStyle w:val="null3"/>
        <w:ind w:firstLine="420"/>
        <w:jc w:val="both"/>
      </w:pPr>
      <w:r>
        <w:rPr>
          <w:sz w:val="24"/>
        </w:rPr>
        <w:t>10、参与搬运作业的人员要负起对车辆分区按类别有序摆放的责任，杜绝车辆因随意摆放引发“找车难”等问题。</w:t>
      </w:r>
    </w:p>
    <w:p>
      <w:pPr>
        <w:pStyle w:val="null3"/>
        <w:ind w:firstLine="420"/>
        <w:jc w:val="both"/>
      </w:pPr>
      <w:r>
        <w:rPr>
          <w:sz w:val="24"/>
        </w:rPr>
        <w:t>11、中标人派出的场地管理人员需穿着统一工作服上岗,上岗时应佩戴工作卡，对进场协助车辆摆放的拯救作业人员，以及车辆领取人必须全程进行监督，以防止涉案车辆及随车物品等物资在场内被人为损坏或盗走。</w:t>
      </w:r>
    </w:p>
    <w:p>
      <w:pPr>
        <w:pStyle w:val="null3"/>
        <w:ind w:firstLine="420"/>
        <w:jc w:val="both"/>
      </w:pPr>
      <w:r>
        <w:rPr>
          <w:sz w:val="24"/>
        </w:rPr>
        <w:t>12、中标人应在场内设置车辆钥匙保管柜和随车物品（贵重或小件物品）保管柜，对车辆钥匙和物品按单位、类别、进场顺序等条件分类有序摆放。</w:t>
      </w:r>
    </w:p>
    <w:p>
      <w:pPr>
        <w:pStyle w:val="null3"/>
        <w:ind w:firstLine="420"/>
        <w:jc w:val="both"/>
      </w:pPr>
      <w:r>
        <w:rPr>
          <w:sz w:val="24"/>
        </w:rPr>
        <w:t>13、中标人应制定与管理相适应的人员值班规范、钥匙管理规范、随车物品管理规范、场地安全防范规定等详细工作制度，保障场地安全、有序、规范运转，相关制度应当报采购人备案。</w:t>
      </w:r>
    </w:p>
    <w:p>
      <w:pPr>
        <w:pStyle w:val="null3"/>
        <w:ind w:firstLine="420"/>
        <w:jc w:val="both"/>
      </w:pPr>
      <w:r>
        <w:rPr>
          <w:sz w:val="24"/>
        </w:rPr>
        <w:t>14、中标人必须严格按照车辆接收程序接收车辆；场地内的车辆（含随车物品）需出场的，相关人员必须凭有效的放行凭证或勘验证明，并按放行程序办理手续后才能将车辆领出。</w:t>
      </w:r>
    </w:p>
    <w:p>
      <w:pPr>
        <w:pStyle w:val="null3"/>
        <w:ind w:firstLine="420"/>
        <w:jc w:val="both"/>
      </w:pPr>
      <w:r>
        <w:rPr>
          <w:sz w:val="24"/>
        </w:rPr>
        <w:t>15、对于符合拆解、拍卖等条件的涉案车辆，中标人经采购人通知后及时核查清点，期间应采取措施确保车辆安全。</w:t>
      </w:r>
    </w:p>
    <w:p>
      <w:pPr>
        <w:pStyle w:val="null3"/>
        <w:ind w:firstLine="420"/>
        <w:jc w:val="both"/>
      </w:pPr>
      <w:r>
        <w:rPr>
          <w:sz w:val="24"/>
        </w:rPr>
        <w:t>16、场地实施24小时值班制度，仙村和中新镇的场地要求不少于12人（含8名保安和4名其他工作人员），非工作时间不少于2人在岗；派潭的场地不少于6人（含4名保安和2名其他工作人员），非工作时间不少于1人在岗。服务人员需胜任本职工作且无犯罪记录，并确保场地正常运作，中标人必须于合同签订后提供场地管理人员的劳动合同及社保证明，并在合同实施后1个月内连同各场地管理人员名册提交采购人备案。停车场负责办理车辆出库岗位（对外业务窗口）的工作时间：正常工作日为9:00时－12:00时，13:00-17: 00（周一至周五），节假日9:00时－14:00时。</w:t>
      </w:r>
    </w:p>
    <w:p>
      <w:pPr>
        <w:pStyle w:val="null3"/>
        <w:ind w:firstLine="420"/>
        <w:jc w:val="both"/>
      </w:pPr>
      <w:r>
        <w:rPr>
          <w:sz w:val="24"/>
        </w:rPr>
        <w:t>17、中标人要加强停车场人员思想教育，提升窗口服务态度，停车场服务人员要着装统一严整、语言文明，杜绝冷、硬、横、推、拖等不良态度，避免引起群众不满意投诉事件。</w:t>
      </w:r>
    </w:p>
    <w:p>
      <w:pPr>
        <w:pStyle w:val="null3"/>
        <w:ind w:firstLine="422"/>
      </w:pPr>
      <w:r>
        <w:rPr>
          <w:sz w:val="24"/>
          <w:b/>
        </w:rPr>
        <w:t>四、停车场转场服务</w:t>
      </w:r>
    </w:p>
    <w:p>
      <w:pPr>
        <w:pStyle w:val="null3"/>
        <w:ind w:firstLine="420"/>
        <w:jc w:val="both"/>
      </w:pPr>
      <w:r>
        <w:rPr>
          <w:sz w:val="24"/>
        </w:rPr>
        <w:t>1、因涉案停车场期满产生新标的涉案停车场，中标人必须无条件配合采购人将上一周期涉案停车场车辆转移到新涉案停车场。并按照采购人要求做好交接手续，转场结束后提供拖吊车辆明细清单一式三份和电子数据给采购人。</w:t>
      </w:r>
    </w:p>
    <w:p>
      <w:pPr>
        <w:pStyle w:val="null3"/>
        <w:ind w:firstLine="420"/>
        <w:jc w:val="both"/>
      </w:pPr>
      <w:r>
        <w:rPr>
          <w:sz w:val="24"/>
        </w:rPr>
        <w:t>2、在拖移转场作业中，必须保护好被转场车辆及车上装备、物品和有关痕迹及拍照工作等，因转运不善造成车辆遗失或损坏、零部件缺失等，由中标人承担全部责任。</w:t>
      </w:r>
    </w:p>
    <w:p>
      <w:pPr>
        <w:pStyle w:val="null3"/>
        <w:ind w:firstLine="420"/>
        <w:jc w:val="both"/>
      </w:pPr>
      <w:r>
        <w:rPr>
          <w:sz w:val="24"/>
        </w:rPr>
        <w:t>3、中标人在拖移转场车辆时，发生私藏、占用、窃取公私财物等行为，应由中标人承担全部责任。</w:t>
      </w:r>
    </w:p>
    <w:p>
      <w:pPr>
        <w:pStyle w:val="null3"/>
        <w:ind w:firstLine="420"/>
        <w:jc w:val="both"/>
      </w:pPr>
      <w:r>
        <w:rPr>
          <w:sz w:val="24"/>
        </w:rPr>
        <w:t>4、拖移转场作业中，因违反工作规范和流程、措施不到位、操作失误等导致发生责任事故，中标人负全部责任。</w:t>
      </w:r>
    </w:p>
    <w:p>
      <w:pPr>
        <w:pStyle w:val="null3"/>
        <w:ind w:firstLine="420"/>
        <w:jc w:val="both"/>
      </w:pPr>
      <w:r>
        <w:rPr>
          <w:sz w:val="24"/>
        </w:rPr>
        <w:t>5、转移停车场内的违法和事故车辆时，不得影响日常工作。</w:t>
      </w:r>
    </w:p>
    <w:p>
      <w:pPr>
        <w:pStyle w:val="null3"/>
        <w:ind w:firstLine="422"/>
      </w:pPr>
      <w:r>
        <w:rPr>
          <w:sz w:val="24"/>
          <w:b/>
        </w:rPr>
        <w:t>五、其他要求</w:t>
      </w:r>
    </w:p>
    <w:p>
      <w:pPr>
        <w:pStyle w:val="null3"/>
        <w:ind w:firstLine="420"/>
        <w:jc w:val="both"/>
      </w:pPr>
      <w:r>
        <w:rPr>
          <w:sz w:val="24"/>
        </w:rPr>
        <w:t>（一）中标人必须在所提供服务的场地经采购人按采购建设需求全部验收通过之后的20天内完成从采购人原委托单位场地内将现有涉案车辆转移到合同约定的由中标人提供服务的新场，相关费用由中标人承担。车辆、随车物品及档案资料等启动转场后，自离开上一周期委托单位停车场起，涉案车辆、随车物品及档案资料的保管工作由新周期的中标人负责，期间发生丢失、被盗、损坏的，将追究新周期的中标人法律和经济责任。（提供承诺函并加盖公章，格式自拟）</w:t>
      </w:r>
    </w:p>
    <w:p>
      <w:pPr>
        <w:pStyle w:val="null3"/>
        <w:ind w:firstLine="420"/>
        <w:jc w:val="both"/>
      </w:pPr>
      <w:r>
        <w:rPr>
          <w:sz w:val="24"/>
        </w:rPr>
        <w:t>（二）服务期满后，对于车场内现有的车辆及管理期间的全部档案资料，中标人必须无条件配合下一周期中标人在60天内移出。60天内车辆移出前，档案资料及场内涉案车辆的安全由本周期中标人负责，在此期间档案资料及车辆发生损坏、遗失、被盗的，将追究本周期中标人一切法律、经济责任。（提供承诺函并加盖公章，格式自拟）</w:t>
      </w:r>
    </w:p>
    <w:p>
      <w:pPr>
        <w:pStyle w:val="null3"/>
        <w:ind w:firstLine="420"/>
        <w:jc w:val="both"/>
      </w:pPr>
      <w:r>
        <w:rPr>
          <w:sz w:val="24"/>
        </w:rPr>
        <w:t>（三）中标人要遵守《中华人民共和国劳动法》的相关规定，按时支付工作人员工资，不得拖欠工人工资，因拖欠工资影响日常证据保存和车辆停放管理工作的，由此产生的经济损失及法律责任由中标人承担。（提供承诺函并加盖公章，格式自拟）</w:t>
      </w:r>
    </w:p>
    <w:p>
      <w:pPr>
        <w:pStyle w:val="null3"/>
        <w:ind w:firstLine="420"/>
        <w:jc w:val="both"/>
      </w:pPr>
      <w:r>
        <w:rPr>
          <w:sz w:val="24"/>
        </w:rPr>
        <w:t>（四）中标人应按照《中华人民共和国劳动法》的相关规定发放工资，作业人员工资不得低于广州市企业职工最低工资标准（工资不含按国家规定供应商必须支付的社会保险及其他应付费用）。</w:t>
      </w:r>
    </w:p>
    <w:p>
      <w:pPr>
        <w:pStyle w:val="null3"/>
        <w:ind w:firstLine="420"/>
        <w:jc w:val="both"/>
      </w:pPr>
      <w:r>
        <w:rPr>
          <w:sz w:val="24"/>
        </w:rPr>
        <w:t>（五）中标人应按照《中华人民共和国社会保险法》和《住房公积金管理条例》的相关规定，支付国家规定必须购买的社会保险费用和缴存住房公积金。</w:t>
      </w:r>
    </w:p>
    <w:p>
      <w:pPr>
        <w:pStyle w:val="null3"/>
        <w:ind w:firstLine="420"/>
        <w:jc w:val="both"/>
      </w:pPr>
      <w:r>
        <w:rPr>
          <w:sz w:val="24"/>
        </w:rPr>
        <w:t>（六）中标人在有效期内为服务人员购买团体人身意外伤害保险的保险单及服务人员购买保安职业责任险的保险单。（须提供保险单扫描件或承诺签订合同后10天内购买相关保险的承诺函）</w:t>
      </w:r>
    </w:p>
    <w:p>
      <w:pPr>
        <w:pStyle w:val="null3"/>
        <w:ind w:firstLine="422"/>
      </w:pPr>
      <w:r>
        <w:rPr>
          <w:sz w:val="24"/>
          <w:b/>
        </w:rPr>
        <w:t>六、服务检查</w:t>
      </w:r>
    </w:p>
    <w:p>
      <w:pPr>
        <w:pStyle w:val="null3"/>
        <w:ind w:firstLine="422"/>
        <w:jc w:val="both"/>
      </w:pPr>
      <w:r>
        <w:rPr>
          <w:sz w:val="24"/>
          <w:b/>
        </w:rPr>
        <w:t>（一）考评管理要求说明</w:t>
      </w:r>
    </w:p>
    <w:p>
      <w:pPr>
        <w:pStyle w:val="null3"/>
        <w:ind w:firstLine="420"/>
        <w:jc w:val="both"/>
      </w:pPr>
      <w:r>
        <w:rPr>
          <w:sz w:val="24"/>
        </w:rPr>
        <w:t>1、中标人在合同期间违反法律法规、《合同》及本管理办法规定的，采购人有权追究中标人的责任，造成的损失全部由中标人负责。</w:t>
      </w:r>
    </w:p>
    <w:p>
      <w:pPr>
        <w:pStyle w:val="null3"/>
        <w:ind w:firstLine="420"/>
        <w:jc w:val="both"/>
      </w:pPr>
      <w:r>
        <w:rPr>
          <w:sz w:val="24"/>
        </w:rPr>
        <w:t>2、中标人如出现重大违规事件（如违反作业规范造成较大责任事故以上），采购人不支付当月服务费用，由此造成的损失由中标人负责。</w:t>
      </w:r>
    </w:p>
    <w:p>
      <w:pPr>
        <w:pStyle w:val="null3"/>
        <w:ind w:firstLine="420"/>
        <w:jc w:val="both"/>
      </w:pPr>
      <w:r>
        <w:rPr>
          <w:sz w:val="24"/>
        </w:rPr>
        <w:t>3、采购人每月对中标人的服务情况进行考评考核，并按考评结果支付服务费用；考评表评分按百分制，每一个月为一个计分周期，当月得分低于60分的，视为不合格，当月服务费用不予支付，采购人可单方面解除合同，由此造成的经济损失和法律责任，由中标人自行承担。采购人有权视情节进行违约追责。</w:t>
      </w:r>
    </w:p>
    <w:p>
      <w:pPr>
        <w:pStyle w:val="null3"/>
        <w:ind w:firstLine="422"/>
        <w:jc w:val="both"/>
      </w:pPr>
      <w:r>
        <w:rPr>
          <w:sz w:val="24"/>
          <w:b/>
        </w:rPr>
        <w:t>（二）考评条款（采购人将不定期组织工作人员对本项目的工作完成情况进行考评）</w:t>
      </w:r>
    </w:p>
    <w:p>
      <w:pPr>
        <w:pStyle w:val="null3"/>
        <w:ind w:firstLine="420"/>
        <w:jc w:val="both"/>
      </w:pPr>
      <w:r>
        <w:rPr>
          <w:sz w:val="24"/>
        </w:rPr>
        <w:t>1、私自放行车辆的或监守自盗车辆的，每发现一辆扣10分。</w:t>
      </w:r>
    </w:p>
    <w:p>
      <w:pPr>
        <w:pStyle w:val="null3"/>
        <w:ind w:firstLine="420"/>
        <w:jc w:val="both"/>
      </w:pPr>
      <w:r>
        <w:rPr>
          <w:sz w:val="24"/>
        </w:rPr>
        <w:t>2、遗失车辆（含管理不善造成车辆被盗）的，由供应商赔偿当事人损失。如赔偿不能解决，当事人进行投诉的，每发现一宗扣5分。</w:t>
      </w:r>
    </w:p>
    <w:p>
      <w:pPr>
        <w:pStyle w:val="null3"/>
        <w:ind w:firstLine="420"/>
        <w:jc w:val="both"/>
      </w:pPr>
      <w:r>
        <w:rPr>
          <w:sz w:val="24"/>
        </w:rPr>
        <w:t>3、私自使用车辆的（不含场内因摆放、移库工作移动车辆的情形），每发现一次扣6分。</w:t>
      </w:r>
    </w:p>
    <w:p>
      <w:pPr>
        <w:pStyle w:val="null3"/>
        <w:ind w:firstLine="420"/>
        <w:jc w:val="both"/>
      </w:pPr>
      <w:r>
        <w:rPr>
          <w:sz w:val="24"/>
        </w:rPr>
        <w:t>4、向涉案车辆当事人收取车辆照相、拓印、复印或充电等费用的，每发现一次扣10分。</w:t>
      </w:r>
    </w:p>
    <w:p>
      <w:pPr>
        <w:pStyle w:val="null3"/>
        <w:ind w:firstLine="420"/>
        <w:jc w:val="both"/>
      </w:pPr>
      <w:r>
        <w:rPr>
          <w:sz w:val="24"/>
        </w:rPr>
        <w:t>5、与拖吊车工作人员或采购人派驻的管理人员勾结谋取不正当利益的，每发现一次扣5分。</w:t>
      </w:r>
    </w:p>
    <w:p>
      <w:pPr>
        <w:pStyle w:val="null3"/>
        <w:ind w:firstLine="420"/>
        <w:jc w:val="both"/>
      </w:pPr>
      <w:r>
        <w:rPr>
          <w:sz w:val="24"/>
        </w:rPr>
        <w:t>6、未经采购人允许私自拆解车辆的，每发现一辆扣10分。</w:t>
      </w:r>
    </w:p>
    <w:p>
      <w:pPr>
        <w:pStyle w:val="null3"/>
        <w:ind w:firstLine="420"/>
        <w:jc w:val="both"/>
      </w:pPr>
      <w:r>
        <w:rPr>
          <w:sz w:val="24"/>
        </w:rPr>
        <w:t>7、非法处理拆解所得电池、抽取油品的，发现一宗扣5分。</w:t>
      </w:r>
    </w:p>
    <w:p>
      <w:pPr>
        <w:pStyle w:val="null3"/>
        <w:ind w:firstLine="420"/>
        <w:jc w:val="both"/>
      </w:pPr>
      <w:r>
        <w:rPr>
          <w:sz w:val="24"/>
        </w:rPr>
        <w:t>8、出售拆解、拍卖等汽车“五大总成”的，发现一宗扣5分。</w:t>
      </w:r>
    </w:p>
    <w:p>
      <w:pPr>
        <w:pStyle w:val="null3"/>
        <w:ind w:firstLine="420"/>
        <w:jc w:val="both"/>
      </w:pPr>
      <w:r>
        <w:rPr>
          <w:sz w:val="24"/>
        </w:rPr>
        <w:t>9、盗取随车物品或车辆零配件的，每发现一宗扣3分。</w:t>
      </w:r>
    </w:p>
    <w:p>
      <w:pPr>
        <w:pStyle w:val="null3"/>
        <w:ind w:firstLine="420"/>
        <w:jc w:val="both"/>
      </w:pPr>
      <w:r>
        <w:rPr>
          <w:sz w:val="24"/>
        </w:rPr>
        <w:t>10、中标人提供的每个保管车场内部均需建设一段长50米以上、宽3.5米以上的水泥路，方便日常车辆的出入和便于涉案车辆日常管理。新合同履行后三个月内完成水泥路的建设,每逾期1个月完成扣1分。</w:t>
      </w:r>
    </w:p>
    <w:p>
      <w:pPr>
        <w:pStyle w:val="null3"/>
        <w:ind w:firstLine="420"/>
        <w:jc w:val="both"/>
      </w:pPr>
      <w:r>
        <w:rPr>
          <w:sz w:val="24"/>
        </w:rPr>
        <w:t>11、车辆保管服务的场地须为平整的硬质地面，具有排水功能，不得有杂草。每发现一处面积0.5平方以上的水坑扣0.1分、发现杂草覆盖面积以每0.5平方扣0.1分的标准进行扣分，该分值可以叠加。</w:t>
      </w:r>
    </w:p>
    <w:p>
      <w:pPr>
        <w:pStyle w:val="null3"/>
        <w:ind w:firstLine="420"/>
        <w:jc w:val="both"/>
      </w:pPr>
      <w:r>
        <w:rPr>
          <w:sz w:val="24"/>
        </w:rPr>
        <w:t>12、因以上9条情形其中引起媒体曝光、炒作且造成严重负面影响的，扣12分。</w:t>
      </w:r>
    </w:p>
    <w:p>
      <w:pPr>
        <w:pStyle w:val="null3"/>
        <w:ind w:firstLine="420"/>
        <w:jc w:val="both"/>
      </w:pPr>
      <w:r>
        <w:rPr>
          <w:sz w:val="24"/>
        </w:rPr>
        <w:t>13、不按采购人交接要求接收或擅自转移车辆的，发现一宗扣1.5分。</w:t>
      </w:r>
    </w:p>
    <w:p>
      <w:pPr>
        <w:pStyle w:val="null3"/>
        <w:ind w:firstLine="420"/>
        <w:jc w:val="both"/>
      </w:pPr>
      <w:r>
        <w:rPr>
          <w:sz w:val="24"/>
        </w:rPr>
        <w:t>14、不按规定及时协助制作涉案车辆一车一档相关工作（原则上车辆进场最迟72小时内要完成车辆发动机和车架号码拓印工作）或不按规定登记车辆进、出场台帐的，发现一宗扣1.5分。</w:t>
      </w:r>
    </w:p>
    <w:p>
      <w:pPr>
        <w:pStyle w:val="null3"/>
        <w:ind w:firstLine="420"/>
        <w:jc w:val="both"/>
      </w:pPr>
      <w:r>
        <w:rPr>
          <w:sz w:val="24"/>
        </w:rPr>
        <w:t>15、因管理不善造成车辆损坏的（需长期堆放的车辆除外），由中标人赔偿当事人损失。如赔偿不能解决，当事人进行投诉的，每次扣2分；</w:t>
      </w:r>
    </w:p>
    <w:p>
      <w:pPr>
        <w:pStyle w:val="null3"/>
        <w:ind w:firstLine="420"/>
        <w:jc w:val="both"/>
      </w:pPr>
      <w:r>
        <w:rPr>
          <w:sz w:val="24"/>
        </w:rPr>
        <w:t>16、收到政府征用土地等政策性通知后未能于5个工作日内书面通知采购人主管部门的，发现一次扣2分。</w:t>
      </w:r>
    </w:p>
    <w:p>
      <w:pPr>
        <w:pStyle w:val="null3"/>
        <w:ind w:firstLine="420"/>
        <w:jc w:val="both"/>
      </w:pPr>
      <w:r>
        <w:rPr>
          <w:sz w:val="24"/>
        </w:rPr>
        <w:t>17、不按规定信息录入信息的，发现一宗扣1.5分。</w:t>
      </w:r>
    </w:p>
    <w:p>
      <w:pPr>
        <w:pStyle w:val="null3"/>
        <w:ind w:firstLine="420"/>
        <w:jc w:val="both"/>
      </w:pPr>
      <w:r>
        <w:rPr>
          <w:sz w:val="24"/>
        </w:rPr>
        <w:t>18、遗失车辆钥匙的，由中标人赔偿当事人损失。如赔偿不能解决，当事人进行投诉的，每发现一宗扣1.5分。</w:t>
      </w:r>
    </w:p>
    <w:p>
      <w:pPr>
        <w:pStyle w:val="null3"/>
        <w:ind w:firstLine="420"/>
        <w:jc w:val="both"/>
      </w:pPr>
      <w:r>
        <w:rPr>
          <w:sz w:val="24"/>
        </w:rPr>
        <w:t>19、出现如下情形的，每发现一宗扣1分：</w:t>
      </w:r>
    </w:p>
    <w:p>
      <w:pPr>
        <w:pStyle w:val="null3"/>
        <w:ind w:firstLine="420"/>
        <w:jc w:val="both"/>
      </w:pPr>
      <w:r>
        <w:rPr>
          <w:sz w:val="24"/>
        </w:rPr>
        <w:t>(1）消防、监控、排涝等设施不能正常运作或围蔽设施不完善的；</w:t>
      </w:r>
    </w:p>
    <w:p>
      <w:pPr>
        <w:pStyle w:val="null3"/>
        <w:ind w:firstLine="420"/>
        <w:jc w:val="both"/>
      </w:pPr>
      <w:r>
        <w:rPr>
          <w:sz w:val="24"/>
        </w:rPr>
        <w:t>(2）未按一般场地的消防要求配备足量的灭火器材的，或未按一般场地安装足够的照明设施的；</w:t>
      </w:r>
    </w:p>
    <w:p>
      <w:pPr>
        <w:pStyle w:val="null3"/>
        <w:ind w:firstLine="420"/>
        <w:jc w:val="both"/>
      </w:pPr>
      <w:r>
        <w:rPr>
          <w:sz w:val="24"/>
        </w:rPr>
        <w:t>(3）场地管理人员不对进场领取车辆的车辆领取人采取人防监督措施的；</w:t>
      </w:r>
    </w:p>
    <w:p>
      <w:pPr>
        <w:pStyle w:val="null3"/>
        <w:ind w:firstLine="420"/>
        <w:jc w:val="both"/>
      </w:pPr>
      <w:r>
        <w:rPr>
          <w:sz w:val="24"/>
        </w:rPr>
        <w:t>(4）中标人不按要求对车辆钥匙和物品按单位、类别、进场顺序等条件分类有效入柜摆放的；</w:t>
      </w:r>
    </w:p>
    <w:p>
      <w:pPr>
        <w:pStyle w:val="null3"/>
        <w:ind w:firstLine="420"/>
        <w:jc w:val="both"/>
      </w:pPr>
      <w:r>
        <w:rPr>
          <w:sz w:val="24"/>
        </w:rPr>
        <w:t>(5）中标人场地管理人员不按规定着装的；</w:t>
      </w:r>
    </w:p>
    <w:p>
      <w:pPr>
        <w:pStyle w:val="null3"/>
        <w:ind w:firstLine="420"/>
        <w:jc w:val="both"/>
      </w:pPr>
      <w:r>
        <w:rPr>
          <w:sz w:val="24"/>
        </w:rPr>
        <w:t>(6）违反经采购人与中标人在服务期间商定书面事项的（指双方会签的管理工作会议纪要）；</w:t>
      </w:r>
    </w:p>
    <w:p>
      <w:pPr>
        <w:pStyle w:val="null3"/>
        <w:ind w:firstLine="420"/>
        <w:jc w:val="both"/>
      </w:pPr>
      <w:r>
        <w:rPr>
          <w:sz w:val="24"/>
        </w:rPr>
        <w:t>以上“车辆” 均指采购人委托中标人管理的“涉案车辆”，考评的对象为中标人（含中标人派出的管理人员）。</w:t>
      </w:r>
    </w:p>
    <w:p>
      <w:pPr>
        <w:pStyle w:val="null3"/>
        <w:ind w:firstLine="420"/>
        <w:jc w:val="both"/>
      </w:pPr>
      <w:r>
        <w:rPr>
          <w:sz w:val="24"/>
        </w:rPr>
        <w:t>20、发生消防或环境安全生产事故的并造成严重影响的， 每一次扣5分。</w:t>
      </w:r>
    </w:p>
    <w:p>
      <w:pPr>
        <w:pStyle w:val="null3"/>
        <w:ind w:firstLine="420"/>
        <w:jc w:val="both"/>
      </w:pPr>
      <w:r>
        <w:rPr>
          <w:sz w:val="24"/>
        </w:rPr>
        <w:t>(1）根据存在问题，采购人对中标人发出《整改通知书》（附件1），要求限期整改。中标人应在规定限期内实施整改，并将整改的情况书面报采购人。</w:t>
      </w:r>
    </w:p>
    <w:p>
      <w:pPr>
        <w:pStyle w:val="null3"/>
        <w:ind w:firstLine="420"/>
        <w:jc w:val="both"/>
      </w:pPr>
      <w:r>
        <w:rPr>
          <w:sz w:val="24"/>
        </w:rPr>
        <w:t>(2）采购人每月月底制作《月度考评总表》（附件2），作为结算依据。</w:t>
      </w:r>
    </w:p>
    <w:p>
      <w:pPr>
        <w:pStyle w:val="null3"/>
        <w:ind w:firstLine="420"/>
        <w:jc w:val="both"/>
      </w:pPr>
      <w:r>
        <w:rPr>
          <w:sz w:val="24"/>
        </w:rPr>
        <w:t>21、采购人发现中标人提供保管服务的停车场挪作其他用途的，每发现一宗，200平方米以下的扣5分，200至1000平方米的扣10分，1000平方米以上的扣20分。</w:t>
      </w:r>
    </w:p>
    <w:p>
      <w:pPr>
        <w:pStyle w:val="null3"/>
        <w:ind w:firstLine="420"/>
        <w:jc w:val="both"/>
      </w:pPr>
      <w:r>
        <w:rPr>
          <w:sz w:val="24"/>
        </w:rPr>
        <w:t>22、当采购人提供的8.2万平方米的停车场实际使用面积达到总面积的70%、80%、90%时，中标人不主动配合立即 （最迟不超过2个工作日）向采购人书面报告的，每发现一次扣6分。</w:t>
      </w:r>
    </w:p>
    <w:p>
      <w:pPr>
        <w:pStyle w:val="null3"/>
        <w:ind w:firstLine="422"/>
      </w:pPr>
      <w:r>
        <w:rPr>
          <w:sz w:val="24"/>
          <w:b/>
        </w:rPr>
        <w:t>七、</w:t>
      </w:r>
      <w:r>
        <w:rPr>
          <w:sz w:val="24"/>
        </w:rPr>
        <w:t>★</w:t>
      </w:r>
      <w:r>
        <w:rPr>
          <w:sz w:val="24"/>
          <w:b/>
        </w:rPr>
        <w:t>报价方式</w:t>
      </w:r>
    </w:p>
    <w:p>
      <w:pPr>
        <w:pStyle w:val="null3"/>
        <w:ind w:firstLine="422"/>
        <w:jc w:val="both"/>
      </w:pPr>
      <w:r>
        <w:rPr>
          <w:sz w:val="24"/>
          <w:b/>
        </w:rPr>
        <w:t>（一）报价方式。</w:t>
      </w:r>
    </w:p>
    <w:p>
      <w:pPr>
        <w:pStyle w:val="null3"/>
        <w:ind w:firstLine="420"/>
      </w:pPr>
      <w:r>
        <w:rPr>
          <w:sz w:val="24"/>
        </w:rPr>
        <w:t>1、投标人须分别对“场地改造费用”“车辆搬迁费” “证据保存车辆保管服务费”进行折扣率报价，投标折扣率区间为0-100%，须为固定值（如20%），不得存在区间值（如20%～25%），否则将被视无效投标。</w:t>
      </w:r>
    </w:p>
    <w:p>
      <w:pPr>
        <w:pStyle w:val="null3"/>
        <w:ind w:firstLine="420"/>
      </w:pPr>
      <w:r>
        <w:rPr>
          <w:sz w:val="24"/>
        </w:rPr>
        <w:t>2、各服务内容折扣率报价格式：</w:t>
      </w:r>
    </w:p>
    <w:tbl>
      <w:tblPr>
        <w:tblW w:w="0" w:type="auto"/>
        <w:tblBorders>
          <w:top w:val="none" w:color="000000" w:sz="4"/>
          <w:left w:val="none" w:color="000000" w:sz="4"/>
          <w:bottom w:val="none" w:color="000000" w:sz="4"/>
          <w:right w:val="none" w:color="000000" w:sz="4"/>
          <w:insideH w:val="none"/>
          <w:insideV w:val="none"/>
        </w:tblBorders>
      </w:tblPr>
      <w:tblGrid>
        <w:gridCol w:w="1052"/>
        <w:gridCol w:w="5558"/>
        <w:gridCol w:w="1696"/>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各单项投标报价一览表</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报价项目</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投标报价</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场地改造费用</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车辆搬迁费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证据保存车辆保管服务费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投标人签章：__________________</w:t>
            </w:r>
          </w:p>
          <w:p>
            <w:pPr>
              <w:pStyle w:val="null3"/>
              <w:jc w:val="right"/>
            </w:pPr>
            <w:r>
              <w:rPr>
                <w:sz w:val="24"/>
              </w:rPr>
              <w:t>日期： 年 月 日</w:t>
            </w:r>
          </w:p>
        </w:tc>
      </w:tr>
    </w:tbl>
    <w:p>
      <w:pPr>
        <w:pStyle w:val="null3"/>
        <w:ind w:firstLine="420"/>
      </w:pPr>
      <w:r>
        <w:rPr>
          <w:sz w:val="24"/>
        </w:rPr>
        <w:t>投标人须对上述提供的《各单项投标报价一览表》中的内容逐一填写，《各单项投标报价一览表》为投标文件不可缺少的格式，未在投标文件中提供将视为无效投标。</w:t>
      </w:r>
    </w:p>
    <w:p>
      <w:pPr>
        <w:pStyle w:val="null3"/>
        <w:ind w:firstLine="420"/>
      </w:pPr>
      <w:r>
        <w:rPr>
          <w:sz w:val="24"/>
        </w:rPr>
        <w:t>3、 “开标一览表”中“投标报价”须填写为本采购包的预算金额8，447，500.00元，未按要求填写将视为无效投标。</w:t>
      </w:r>
    </w:p>
    <w:p>
      <w:pPr>
        <w:pStyle w:val="null3"/>
        <w:ind w:firstLine="422"/>
      </w:pPr>
      <w:r>
        <w:rPr>
          <w:sz w:val="24"/>
          <w:b/>
        </w:rPr>
        <w:t>（二）最高限价</w:t>
      </w:r>
    </w:p>
    <w:p>
      <w:pPr>
        <w:pStyle w:val="null3"/>
        <w:ind w:firstLine="420"/>
      </w:pPr>
      <w:r>
        <w:rPr>
          <w:sz w:val="24"/>
        </w:rPr>
        <w:t>1、 场地改造费用的最高限价：95.35万元，对采购人提供约8.2万平方米的地块（包含仙村约4.53万平方米地块、中新镇约3.2万平方米地块和派潭镇约0.47万平方米的地块）按“场地建设要求”完成改造工作。</w:t>
      </w:r>
    </w:p>
    <w:p>
      <w:pPr>
        <w:pStyle w:val="null3"/>
        <w:ind w:firstLine="420"/>
      </w:pPr>
      <w:r>
        <w:rPr>
          <w:sz w:val="24"/>
        </w:rPr>
        <w:t>2、车辆搬迁费各搬迁车辆的最高单价限价：</w:t>
      </w:r>
    </w:p>
    <w:tbl>
      <w:tblPr>
        <w:tblW w:w="0" w:type="auto"/>
        <w:tblBorders>
          <w:top w:val="none" w:color="000000" w:sz="4"/>
          <w:left w:val="none" w:color="000000" w:sz="4"/>
          <w:bottom w:val="none" w:color="000000" w:sz="4"/>
          <w:right w:val="none" w:color="000000" w:sz="4"/>
          <w:insideH w:val="none"/>
          <w:insideV w:val="none"/>
        </w:tblBorders>
      </w:tblPr>
      <w:tblGrid>
        <w:gridCol w:w="820"/>
        <w:gridCol w:w="5405"/>
        <w:gridCol w:w="2080"/>
        <w:gridCol w:w="0"/>
      </w:tblGrid>
      <w:tr>
        <w:tc>
          <w:tcPr>
            <w:tcW w:type="dxa" w:w="8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54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服务类别</w:t>
            </w:r>
          </w:p>
        </w:tc>
        <w:tc>
          <w:tcPr>
            <w:tcW w:type="dxa" w:w="20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最高单价限价（元/辆）</w:t>
            </w:r>
          </w:p>
        </w:tc>
        <w:tc>
          <w:tcPr>
            <w:tcW w:type="dxa" w:w="0"/>
            <w:tcBorders>
              <w:top w:val="none" w:color="000000" w:sz="4"/>
              <w:left w:val="none" w:color="000000" w:sz="4"/>
              <w:bottom w:val="none" w:color="000000" w:sz="4"/>
              <w:right w:val="none" w:color="000000" w:sz="4"/>
            </w:tcBorders>
          </w:tcPr>
          <w:p/>
        </w:tc>
      </w:tr>
      <w:tr>
        <w:tc>
          <w:tcPr>
            <w:tcW w:type="dxa" w:w="820"/>
            <w:vMerge/>
            <w:tcBorders>
              <w:top w:val="single" w:color="000000" w:sz="4"/>
              <w:left w:val="single" w:color="000000" w:sz="4"/>
              <w:bottom w:val="single" w:color="000000" w:sz="4"/>
              <w:right w:val="single" w:color="000000" w:sz="4"/>
            </w:tcBorders>
          </w:tcPr>
          <w:p/>
        </w:tc>
        <w:tc>
          <w:tcPr>
            <w:tcW w:type="dxa" w:w="5405"/>
            <w:vMerge/>
            <w:tcBorders>
              <w:top w:val="single" w:color="000000" w:sz="4"/>
              <w:left w:val="none" w:color="000000" w:sz="4"/>
              <w:bottom w:val="single" w:color="000000" w:sz="4"/>
              <w:right w:val="single" w:color="000000" w:sz="4"/>
            </w:tcBorders>
          </w:tcPr>
          <w:p/>
        </w:tc>
        <w:tc>
          <w:tcPr>
            <w:tcW w:type="dxa" w:w="208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无动力装置的二轮车（包括自行车、手推车、手拖车、平板车、大板车、无电池的电动车等）</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12.6</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有动力装置的二轮车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三轮车（包括三轮摩托车、三轮电动车、人力三轮车、加装动力装置的三轮车、黄包车及残疾人专用机动车）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108</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r>
              <w:rPr>
                <w:sz w:val="24"/>
                <w:color w:val="000000"/>
              </w:rPr>
              <w:t>座以下（含7座）客车、2吨（含2吨）以下货车及四轮（含四轮）以上载人电瓶车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324</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r>
              <w:rPr>
                <w:sz w:val="24"/>
                <w:color w:val="000000"/>
              </w:rPr>
              <w:t>座以上至19座（含19座）以下客车、2吨以上至5吨（含5吨）货车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405</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r>
              <w:rPr>
                <w:sz w:val="24"/>
                <w:color w:val="000000"/>
              </w:rPr>
              <w:t>座以上至39座（含39座）以下客车、5吨以上至10吨（含10吨）货车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486</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r>
              <w:rPr>
                <w:sz w:val="24"/>
                <w:color w:val="000000"/>
              </w:rPr>
              <w:t>座（含40座）以上客车、10吨以上至15吨（含15吨）货车、20英尺集装箱车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567</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r>
              <w:rPr>
                <w:sz w:val="24"/>
                <w:color w:val="000000"/>
              </w:rPr>
              <w:t>吨以上至35吨（含35吨）货车、40英尺集装箱车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648</w:t>
            </w:r>
          </w:p>
        </w:tc>
        <w:tc>
          <w:tcPr>
            <w:tcW w:type="dxa" w:w="0"/>
            <w:tcBorders>
              <w:top w:val="none" w:color="000000" w:sz="4"/>
              <w:left w:val="none" w:color="000000" w:sz="4"/>
              <w:bottom w:val="none" w:color="000000" w:sz="4"/>
              <w:right w:val="non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w:t>
            </w:r>
          </w:p>
        </w:tc>
        <w:tc>
          <w:tcPr>
            <w:tcW w:type="dxa" w:w="5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r>
              <w:rPr>
                <w:sz w:val="24"/>
                <w:color w:val="000000"/>
              </w:rPr>
              <w:t>吨以上货车</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729</w:t>
            </w:r>
          </w:p>
        </w:tc>
        <w:tc>
          <w:tcPr>
            <w:tcW w:type="dxa" w:w="0"/>
            <w:tcBorders>
              <w:top w:val="none" w:color="000000" w:sz="4"/>
              <w:left w:val="none" w:color="000000" w:sz="4"/>
              <w:bottom w:val="none" w:color="000000" w:sz="4"/>
              <w:right w:val="none" w:color="000000" w:sz="4"/>
            </w:tcBorders>
          </w:tcPr>
          <w:p/>
        </w:tc>
      </w:tr>
    </w:tbl>
    <w:p>
      <w:pPr>
        <w:pStyle w:val="null3"/>
      </w:pPr>
      <w:r>
        <w:rPr>
          <w:sz w:val="24"/>
        </w:rPr>
        <w:t>3、证据保存车辆保管服务费最高单价限价：3元/平方米/月，含管理过程中产生的应由管理方承担相关费用。</w:t>
      </w:r>
    </w:p>
    <w:p>
      <w:pPr>
        <w:pStyle w:val="null3"/>
        <w:ind w:firstLine="420"/>
      </w:pPr>
      <w:r>
        <w:rPr>
          <w:sz w:val="24"/>
          <w:b/>
        </w:rPr>
        <w:t>八、结算及考评要求</w:t>
      </w:r>
    </w:p>
    <w:p>
      <w:pPr>
        <w:pStyle w:val="null3"/>
        <w:ind w:firstLine="420"/>
      </w:pPr>
      <w:r>
        <w:rPr>
          <w:sz w:val="24"/>
        </w:rPr>
        <w:t>（一）结算要求</w:t>
      </w:r>
    </w:p>
    <w:p>
      <w:pPr>
        <w:pStyle w:val="null3"/>
        <w:ind w:firstLine="420"/>
      </w:pPr>
      <w:r>
        <w:rPr>
          <w:sz w:val="24"/>
        </w:rPr>
        <w:t>1、 场地改造费用=场地改造费用的最高限价*中标折扣率（四舍五入保留2位小数点）。</w:t>
      </w:r>
    </w:p>
    <w:p>
      <w:pPr>
        <w:pStyle w:val="null3"/>
        <w:ind w:firstLine="420"/>
      </w:pPr>
      <w:r>
        <w:rPr>
          <w:sz w:val="24"/>
        </w:rPr>
        <w:t>2、 各类型车辆搬迁费=各类型车辆拖吊单价最高限价*中标折扣率*搬迁的车辆数，车辆搬迁费=各类型车辆搬迁费之和，最终结算金额不得超过车辆搬迁费用的预算。</w:t>
      </w:r>
    </w:p>
    <w:p>
      <w:pPr>
        <w:pStyle w:val="null3"/>
        <w:ind w:firstLine="420"/>
      </w:pPr>
      <w:r>
        <w:rPr>
          <w:sz w:val="24"/>
        </w:rPr>
        <w:t>3、证据保存车辆保管服务费=证据保存车辆保管服务费最高单价限价*中标折扣率*场地实际面积（8.2万平方米）。从新场地改造完成通过验收且有车辆进场开始提供场地保管服务并计算保管费。</w:t>
      </w:r>
    </w:p>
    <w:p>
      <w:pPr>
        <w:pStyle w:val="null3"/>
        <w:ind w:firstLine="422"/>
      </w:pPr>
      <w:r>
        <w:rPr>
          <w:sz w:val="24"/>
          <w:b/>
        </w:rPr>
        <w:t>（二）每月的实际服务费与当月的月度考核总评挂钩。</w:t>
      </w:r>
    </w:p>
    <w:p>
      <w:pPr>
        <w:pStyle w:val="null3"/>
        <w:ind w:firstLine="420"/>
      </w:pPr>
      <w:r>
        <w:rPr>
          <w:sz w:val="24"/>
        </w:rPr>
        <w:t>1、采购人有权将中标人在合同服务期内违反合同规定的各种情况进行登记，建立诚信档案，制作月度考评表，按考评表分数比例扣减当月服务费用。</w:t>
      </w:r>
    </w:p>
    <w:p>
      <w:pPr>
        <w:pStyle w:val="null3"/>
        <w:ind w:firstLine="420"/>
      </w:pPr>
      <w:r>
        <w:rPr>
          <w:sz w:val="24"/>
        </w:rPr>
        <w:t>2、考评表评分按百分制，每一个月为一个计分周期。当月得分低于60分的，视为不合格，且采购人可单方面解除合同。</w:t>
      </w:r>
    </w:p>
    <w:p>
      <w:pPr>
        <w:pStyle w:val="null3"/>
        <w:ind w:firstLine="422"/>
      </w:pPr>
      <w:r>
        <w:rPr>
          <w:sz w:val="24"/>
          <w:b/>
        </w:rPr>
        <w:t>（三）中标人服务费支付比例和月度考核情况挂钩：</w:t>
      </w:r>
    </w:p>
    <w:p>
      <w:pPr>
        <w:pStyle w:val="null3"/>
        <w:ind w:firstLine="420"/>
      </w:pPr>
      <w:r>
        <w:rPr>
          <w:sz w:val="24"/>
        </w:rPr>
        <w:t>1、当月总评＜60分的，视为不合格，当月服务费用不予支付；</w:t>
      </w:r>
    </w:p>
    <w:p>
      <w:pPr>
        <w:pStyle w:val="null3"/>
        <w:ind w:firstLine="420"/>
      </w:pPr>
      <w:r>
        <w:rPr>
          <w:sz w:val="24"/>
        </w:rPr>
        <w:t>2、当月总评60分或60分以上的，按总评分数支付相同比例的服务费。例如当月得分为85.2分的，当月合同服务费×85.2%=当月应支付服务费，依此类推；</w:t>
      </w:r>
    </w:p>
    <w:p>
      <w:pPr>
        <w:pStyle w:val="null3"/>
        <w:ind w:firstLine="422"/>
      </w:pPr>
      <w:r>
        <w:rPr>
          <w:sz w:val="24"/>
          <w:b/>
        </w:rPr>
        <w:t>（四）采购人每月制作月度考评总表（附件2），作为结算依据之一。</w:t>
      </w:r>
    </w:p>
    <w:p>
      <w:pPr>
        <w:pStyle w:val="null3"/>
        <w:ind w:firstLine="422"/>
      </w:pPr>
      <w:r>
        <w:rPr>
          <w:sz w:val="24"/>
          <w:b/>
        </w:rPr>
        <w:t>（五）奖分办法</w:t>
      </w:r>
    </w:p>
    <w:p>
      <w:pPr>
        <w:pStyle w:val="null3"/>
        <w:ind w:firstLine="420"/>
      </w:pPr>
      <w:r>
        <w:rPr>
          <w:sz w:val="24"/>
        </w:rPr>
        <w:t>（1）中标人发现交通事故、故障车辆或障碍物并及时上报且经大队确认的，每宗奖励 1 分（须经大队书面确认）；</w:t>
      </w:r>
    </w:p>
    <w:p>
      <w:pPr>
        <w:pStyle w:val="null3"/>
        <w:ind w:firstLine="420"/>
      </w:pPr>
      <w:r>
        <w:rPr>
          <w:sz w:val="24"/>
        </w:rPr>
        <w:t>（2）</w:t>
      </w:r>
      <w:r>
        <w:rPr>
          <w:sz w:val="24"/>
        </w:rPr>
        <w:t>中标人</w:t>
      </w:r>
      <w:r>
        <w:rPr>
          <w:sz w:val="24"/>
        </w:rPr>
        <w:t>作业及时、服务好或效果佳，被市级以上新闻媒体表扬报道的，每宗奖励 5 分。</w:t>
      </w:r>
    </w:p>
    <w:p>
      <w:pPr>
        <w:pStyle w:val="null3"/>
        <w:ind w:firstLine="400"/>
      </w:pPr>
      <w:r>
        <w:rPr>
          <w:sz w:val="24"/>
        </w:rPr>
        <w:t>（3）每月奖分 5 分封顶。奖分加至月度总评超过 100 分时，服务费按 100%支付。</w:t>
      </w:r>
    </w:p>
    <w:p>
      <w:pPr>
        <w:pStyle w:val="null3"/>
        <w:ind w:firstLine="422"/>
      </w:pPr>
      <w:r>
        <w:rPr>
          <w:sz w:val="24"/>
          <w:b/>
        </w:rPr>
        <w:t>九、支付方式</w:t>
      </w:r>
    </w:p>
    <w:p>
      <w:pPr>
        <w:pStyle w:val="null3"/>
        <w:ind w:firstLine="420"/>
      </w:pPr>
      <w:r>
        <w:rPr>
          <w:sz w:val="24"/>
        </w:rPr>
        <w:t>实际服务费按月结算，每月支付一次。中标人须在每月10日前向采购人提供相关资料以及等额的正式发票，供采购人审核，以便采购人办理财政支付手续，采购人审核通过后，中标人应于5个工作日内向采购人申请付款，采购人收到中标人的申请以及全部付款资料后，5个工作日内办理财政支付手续，实际支付时间由区财政局安排。</w:t>
      </w:r>
    </w:p>
    <w:p>
      <w:pPr>
        <w:pStyle w:val="null3"/>
        <w:ind w:firstLine="420"/>
      </w:pPr>
      <w:r>
        <w:rPr>
          <w:sz w:val="24"/>
        </w:rPr>
        <w:t>在全部服务期结束，且中标人在配合采购人做好下一周期供应商交接工作后的五个工作日内，采购人办理财政支付手续支付最后一期实际服务费。</w:t>
      </w:r>
    </w:p>
    <w:p>
      <w:pPr>
        <w:pStyle w:val="null3"/>
        <w:ind w:firstLine="420"/>
      </w:pPr>
      <w:r>
        <w:rPr>
          <w:sz w:val="24"/>
        </w:rPr>
        <w:t>因采购人使用的是财政资金，采购人在前款规定的付款时间为向政府采购支付部门提供财政支付申请手续时间（不含采购人或采购人上级部门审核时间），在规定时间内提出支付手续后即视为采购人已经按期支付。由于财政拨款不到位而导致采购人逾期付款的，采购人不承担违约责任。</w:t>
      </w:r>
    </w:p>
    <w:p>
      <w:pPr>
        <w:pStyle w:val="null3"/>
        <w:ind w:firstLine="420"/>
      </w:pPr>
      <w:r>
        <w:rPr>
          <w:sz w:val="24"/>
        </w:rPr>
        <w:t>采购人收到中标人开具的符合法律规定和采购人要求的相应金额的增值税专用发票后才具有付款义务，中标人未开具或者逾期提供的，采购人有权拒绝付款且不视为违约。</w:t>
      </w:r>
    </w:p>
    <w:p>
      <w:pPr>
        <w:pStyle w:val="null3"/>
        <w:ind w:firstLine="420"/>
      </w:pPr>
      <w:r>
        <w:rPr>
          <w:sz w:val="24"/>
          <w:b/>
        </w:rPr>
        <w:t>第二部分  通用事项</w:t>
      </w:r>
    </w:p>
    <w:p>
      <w:pPr>
        <w:pStyle w:val="null3"/>
        <w:ind w:firstLine="422"/>
      </w:pPr>
      <w:r>
        <w:rPr>
          <w:sz w:val="24"/>
          <w:b/>
        </w:rPr>
        <w:t>十、采购人的权利和义务</w:t>
      </w:r>
    </w:p>
    <w:p>
      <w:pPr>
        <w:pStyle w:val="null3"/>
        <w:ind w:firstLine="420"/>
        <w:jc w:val="both"/>
      </w:pPr>
      <w:r>
        <w:rPr>
          <w:sz w:val="24"/>
        </w:rPr>
        <w:t>（一）委托中标人存放因证据保存需要而暂扣待处理的各类涉案车辆（包括机动车、非机动车）。</w:t>
      </w:r>
    </w:p>
    <w:p>
      <w:pPr>
        <w:pStyle w:val="null3"/>
        <w:ind w:firstLine="420"/>
        <w:jc w:val="both"/>
      </w:pPr>
      <w:r>
        <w:rPr>
          <w:sz w:val="24"/>
        </w:rPr>
        <w:t>（二）协调中标人做好涉案车辆的存放及涉案车辆的拆解、拍卖等方面的业务和管理工作。</w:t>
      </w:r>
    </w:p>
    <w:p>
      <w:pPr>
        <w:pStyle w:val="null3"/>
        <w:ind w:firstLine="420"/>
        <w:jc w:val="both"/>
      </w:pPr>
      <w:r>
        <w:rPr>
          <w:sz w:val="24"/>
        </w:rPr>
        <w:t>（三）制定统一、规范的车辆放行流程和标准，以及统一的车辆放行条样式，并与中标人共同做好“车辆放行条”真实性、有效性的核对工作。</w:t>
      </w:r>
    </w:p>
    <w:p>
      <w:pPr>
        <w:pStyle w:val="null3"/>
        <w:ind w:firstLine="420"/>
        <w:jc w:val="both"/>
      </w:pPr>
      <w:r>
        <w:rPr>
          <w:sz w:val="24"/>
        </w:rPr>
        <w:t>（四）定期检查车辆的拆解、拍卖、保管情况及核对车辆进、出场数据。</w:t>
      </w:r>
    </w:p>
    <w:p>
      <w:pPr>
        <w:pStyle w:val="null3"/>
        <w:ind w:firstLine="420"/>
        <w:jc w:val="both"/>
      </w:pPr>
      <w:r>
        <w:rPr>
          <w:sz w:val="24"/>
        </w:rPr>
        <w:t>（五）按时足额办理财政集中支付手续。</w:t>
      </w:r>
    </w:p>
    <w:p>
      <w:pPr>
        <w:pStyle w:val="null3"/>
        <w:ind w:firstLine="420"/>
        <w:jc w:val="both"/>
      </w:pPr>
      <w:r>
        <w:rPr>
          <w:sz w:val="24"/>
        </w:rPr>
        <w:t>（六）如合同履行期间，采购人所提供场地遇政府征用等政策性因素需要更换服务场地的，采购人需提前一个月书面通知中标人，中标人必须在原场地停止使用前继续履行保管服务，证据保存车辆转场服务所产生的费用由采购人承担。</w:t>
      </w:r>
    </w:p>
    <w:p>
      <w:pPr>
        <w:pStyle w:val="null3"/>
        <w:ind w:firstLine="422"/>
      </w:pPr>
      <w:r>
        <w:rPr>
          <w:sz w:val="24"/>
          <w:b/>
        </w:rPr>
        <w:t>十一、中标人权利和义务</w:t>
      </w:r>
    </w:p>
    <w:p>
      <w:pPr>
        <w:pStyle w:val="null3"/>
        <w:ind w:firstLine="420"/>
        <w:jc w:val="both"/>
      </w:pPr>
      <w:r>
        <w:rPr>
          <w:sz w:val="24"/>
        </w:rPr>
        <w:t>（一）中标人必须严格保密采购人因证据保存需要而停放在中标人场地的涉案车辆信息，若因中标人管理不善导致证据保存车辆信息外泄的，采购人有权视情节进行追责。</w:t>
      </w:r>
    </w:p>
    <w:p>
      <w:pPr>
        <w:pStyle w:val="null3"/>
        <w:ind w:firstLine="420"/>
        <w:jc w:val="both"/>
      </w:pPr>
      <w:r>
        <w:rPr>
          <w:sz w:val="24"/>
        </w:rPr>
        <w:t>（二）中标人提供保管服务的所有场地必须确保涉案车辆的安全，避免涉案车辆因人为或自然原因造成车辆遗失或损失（毁）导致证据改变影响取证工作（需长期堆放的车辆除外）。</w:t>
      </w:r>
    </w:p>
    <w:p>
      <w:pPr>
        <w:pStyle w:val="null3"/>
        <w:ind w:firstLine="420"/>
        <w:jc w:val="both"/>
      </w:pPr>
      <w:r>
        <w:rPr>
          <w:sz w:val="24"/>
        </w:rPr>
        <w:t>（三）未经过采购人书面同意，中标人不得将权利及义务进行分包或转包，由此造成的法律经济后果全部由中标人承担。</w:t>
      </w:r>
    </w:p>
    <w:p>
      <w:pPr>
        <w:pStyle w:val="null3"/>
        <w:ind w:firstLine="420"/>
        <w:jc w:val="both"/>
      </w:pPr>
      <w:r>
        <w:rPr>
          <w:sz w:val="24"/>
        </w:rPr>
        <w:t>（四）及时做好车辆接收工作，登记好车型、外观状况、车内设备情况以及核对好数量，建立相应的工作台帐；并将车辆按车型及入场的先后停放整齐。</w:t>
      </w:r>
    </w:p>
    <w:p>
      <w:pPr>
        <w:pStyle w:val="null3"/>
        <w:ind w:firstLine="420"/>
        <w:jc w:val="both"/>
      </w:pPr>
      <w:r>
        <w:rPr>
          <w:sz w:val="24"/>
        </w:rPr>
        <w:t>（五）配合采购人做好涉案车辆的拓印、拍照等取证等工作，并不得向涉案车辆单位或当事人收取或变相收取任何费用。</w:t>
      </w:r>
    </w:p>
    <w:p>
      <w:pPr>
        <w:pStyle w:val="null3"/>
        <w:ind w:firstLine="420"/>
        <w:jc w:val="both"/>
      </w:pPr>
      <w:r>
        <w:rPr>
          <w:sz w:val="24"/>
        </w:rPr>
        <w:t>（六）根据安全、消防、环保、综治的管理要求，做好场内安全环保和防盗等工作确保车场内车辆的安全。</w:t>
      </w:r>
    </w:p>
    <w:p>
      <w:pPr>
        <w:pStyle w:val="null3"/>
        <w:ind w:firstLine="420"/>
        <w:jc w:val="both"/>
      </w:pPr>
      <w:r>
        <w:rPr>
          <w:sz w:val="24"/>
        </w:rPr>
        <w:t>（七）中标人有权利按合同规定的时间追收服务费用，采购人应予配合支付。</w:t>
      </w:r>
    </w:p>
    <w:p>
      <w:pPr>
        <w:pStyle w:val="null3"/>
        <w:ind w:firstLine="422"/>
      </w:pPr>
      <w:r>
        <w:rPr>
          <w:sz w:val="24"/>
          <w:b/>
        </w:rPr>
        <w:t>十二、不可抗力</w:t>
      </w:r>
    </w:p>
    <w:p>
      <w:pPr>
        <w:pStyle w:val="null3"/>
        <w:ind w:firstLine="420"/>
        <w:jc w:val="both"/>
      </w:pPr>
      <w:r>
        <w:rPr>
          <w:sz w:val="24"/>
        </w:rPr>
        <w:t>（一）由于不可预见、不可避免、不可克服等不可抗力的原因，一方不能履行约定义务的，应当在不可抗力发生之日起3天内以书面形式通知对方，阐明不可抗力事件的存在。</w:t>
      </w:r>
    </w:p>
    <w:p>
      <w:pPr>
        <w:pStyle w:val="null3"/>
        <w:ind w:firstLine="420"/>
        <w:jc w:val="both"/>
      </w:pPr>
      <w:r>
        <w:rPr>
          <w:sz w:val="24"/>
        </w:rPr>
        <w:t>（二）不可抗力事件发生后，双方应当积极寻求合理的方式履行本需求。如不可抗力无法消除，致使合同目的无法实现的，双方均有权解除合同，且无需承担赔偿责任。</w:t>
      </w:r>
    </w:p>
    <w:p>
      <w:pPr>
        <w:pStyle w:val="null3"/>
        <w:ind w:firstLine="422"/>
      </w:pPr>
      <w:r>
        <w:rPr>
          <w:sz w:val="24"/>
          <w:b/>
        </w:rPr>
        <w:t>十三、税费</w:t>
      </w:r>
    </w:p>
    <w:p>
      <w:pPr>
        <w:pStyle w:val="null3"/>
        <w:ind w:firstLine="420"/>
        <w:jc w:val="both"/>
      </w:pPr>
      <w:r>
        <w:rPr>
          <w:sz w:val="24"/>
        </w:rPr>
        <w:t>在中国境内、外发生的与本需求执行有关的一切税费均由中标人承担。</w:t>
      </w:r>
    </w:p>
    <w:p>
      <w:pPr>
        <w:pStyle w:val="null3"/>
      </w:pPr>
      <w:r>
        <w:rPr/>
        <w:t>采购包1（拖吊车及交通清障服务）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合同签订后24个月，合同服务期到期或本采购包的预算金额用完时服务合同终止。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第1期为(款项)：支付比例100%，1、实际服务费按月结算，每月支付一次。 2、中标供应商于每月10日前向采购人提交上月服务明细清单（包括车辆拖吊服务汇总、其他服务汇总），采购人应在10个工作日内对服务清单完成审核。 3、根据每月实际作业量、考评奖惩办法及考评结果情况经双方审核确认无误后，得出每月的服务费支付金额，中标供应商应于5个工作日内向采购人申请付款，并将上月的服务汇总资料及等额的服务发票交给采购人，采购人在接到供应商递交的支付申请材料后在10个工作日内办理上月服务的财政支付手续。 4、因采购人使用的是财政资金，采购人在前款规定的办理财政集中支付手续的时间为向政府采购支付部门提出办理财政支付申请手续的时间（不含政府财政支付部门审核的时间），采购人在规定时间内提出向合同约定的收款单位付款的申请手续后即视为甲方已经按期履约。由于财政资金拨款不到位而导致采购人逾期付款的，采购人不承担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服务完成后，以本项目合同及中标人的投标文件为验收依据，验收由采购人组织，中标人配合进行，组织验收并出具项目验收报告。服务或产品若有国家标准按照国家标准验收，若无国家标准按行业标准验收，为在中国境内可依常规安全合法使用，同时符合本次采购约定的服务要求。</w:t>
            </w:r>
          </w:p>
        </w:tc>
      </w:tr>
      <w:tr>
        <w:tc>
          <w:tcPr>
            <w:tcW w:type="dxa" w:w="4153"/>
          </w:tcPr>
          <w:p>
            <w:pPr>
              <w:pStyle w:val="null3"/>
            </w:pPr>
            <w:r>
              <w:rPr/>
              <w:t>履约保证金</w:t>
            </w:r>
          </w:p>
        </w:tc>
        <w:tc>
          <w:tcPr>
            <w:tcW w:type="dxa" w:w="4153"/>
          </w:tcPr>
          <w:p>
            <w:pPr>
              <w:pStyle w:val="null3"/>
            </w:pPr>
            <w:r>
              <w:rPr/>
              <w:t>收取比例：3%,说明：项目合同签订后30天内，中标人须向采购人提交中标采购包合同的履约保证金，金额为中标采购包合同价的3%，履约保证金不可撤销、无条件的《银行履约保函》的形式提交。该银行履约保函须为注册在中国、营业地在广州的银行出具的、无条件的、不可撤销的，保函有效期至项目质保期满之日起30天后自动失效。下列任何一种情况发生时，采购人有权没收银行履约保函中的履约保证金：1、有明显证据证明中标人未履行本合同约定的；2、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合同签订，根据《广州市财政局关于进一步提升政府采购效率和透明度的通知》(穗财采(2024)106)的规定，采购人自中标通知书发出之日起10个工作日内，按照采购文件确定的事项与中标供应商签订政府采购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其他道路运输服务</w:t>
            </w:r>
          </w:p>
        </w:tc>
        <w:tc>
          <w:tcPr>
            <w:tcW w:type="dxa" w:w="831"/>
          </w:tcPr>
          <w:p>
            <w:pPr>
              <w:pStyle w:val="null3"/>
              <w:jc w:val="left"/>
            </w:pPr>
            <w:r>
              <w:rPr/>
              <w:t>拖吊车及交通清障服务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5,670,000.00</w:t>
            </w:r>
          </w:p>
        </w:tc>
        <w:tc>
          <w:tcPr>
            <w:tcW w:type="dxa" w:w="831"/>
          </w:tcPr>
          <w:p>
            <w:pPr>
              <w:pStyle w:val="null3"/>
              <w:jc w:val="right"/>
            </w:pPr>
            <w:r>
              <w:rPr/>
              <w:t>5,670,000.00</w:t>
            </w:r>
          </w:p>
        </w:tc>
        <w:tc>
          <w:tcPr>
            <w:tcW w:type="dxa" w:w="831"/>
          </w:tcPr>
          <w:p>
            <w:pPr>
              <w:pStyle w:val="null3"/>
            </w:pPr>
            <w:r>
              <w:rPr/>
              <w:t>100.0</w:t>
            </w:r>
          </w:p>
        </w:tc>
        <w:tc>
          <w:tcPr>
            <w:tcW w:type="dxa" w:w="831"/>
          </w:tcPr>
          <w:p>
            <w:pPr>
              <w:pStyle w:val="null3"/>
            </w:pPr>
            <w:r>
              <w:rPr/>
              <w:t>交通运输业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拖吊车及交通清障服务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 采购需求》。</w:t>
            </w:r>
          </w:p>
          <w:p>
            <w:pPr>
              <w:pStyle w:val="null3"/>
              <w:jc w:val="left"/>
            </w:pPr>
            <w:r>
              <w:rPr/>
              <w:t xml:space="preserve"> </w:t>
            </w:r>
          </w:p>
          <w:p>
            <w:pPr>
              <w:pStyle w:val="null3"/>
              <w:jc w:val="left"/>
            </w:pPr>
            <w:r>
              <w:rPr>
                <w:sz w:val="24"/>
                <w:b/>
                <w:color w:val="000000"/>
              </w:rPr>
              <w:t>附件</w:t>
            </w:r>
            <w:r>
              <w:rPr>
                <w:sz w:val="24"/>
                <w:b/>
                <w:color w:val="000000"/>
              </w:rPr>
              <w:t>1</w:t>
            </w:r>
            <w:r>
              <w:rPr>
                <w:sz w:val="24"/>
                <w:b/>
                <w:color w:val="000000"/>
              </w:rPr>
              <w:t>：整改通知书</w:t>
            </w:r>
          </w:p>
          <w:tbl>
            <w:tblPr>
              <w:tblBorders>
                <w:top w:val="none" w:color="000000" w:sz="4"/>
                <w:left w:val="none" w:color="000000" w:sz="4"/>
                <w:bottom w:val="none" w:color="000000" w:sz="4"/>
                <w:right w:val="none" w:color="000000" w:sz="4"/>
                <w:insideH w:val="none"/>
                <w:insideV w:val="none"/>
              </w:tblBorders>
            </w:tblPr>
            <w:tblGrid>
              <w:gridCol w:w="5542"/>
            </w:tblGrid>
            <w:tr>
              <w:tc>
                <w:tcPr>
                  <w:tcW w:type="dxa" w:w="5542"/>
                  <w:tcBorders>
                    <w:top w:val="double" w:color="000000" w:sz="48"/>
                    <w:left w:val="double" w:color="000000" w:sz="48"/>
                    <w:bottom w:val="single" w:color="000000" w:sz="4"/>
                    <w:right w:val="double" w:color="000000" w:sz="48"/>
                  </w:tcBorders>
                  <w:tcMar>
                    <w:top w:type="dxa" w:w="0"/>
                    <w:left w:type="dxa" w:w="105"/>
                    <w:bottom w:type="dxa" w:w="0"/>
                    <w:right w:type="dxa" w:w="105"/>
                  </w:tcMar>
                  <w:vAlign w:val="top"/>
                </w:tcPr>
                <w:p>
                  <w:pPr>
                    <w:pStyle w:val="null3"/>
                    <w:jc w:val="both"/>
                  </w:pPr>
                  <w:r>
                    <w:rPr>
                      <w:sz w:val="24"/>
                      <w:b/>
                    </w:rPr>
                    <w:t>广州市公安局交警支队增城大队涉案车场拖吊服务项目整改通知书</w:t>
                  </w:r>
                </w:p>
                <w:p>
                  <w:pPr>
                    <w:pStyle w:val="null3"/>
                    <w:jc w:val="center"/>
                  </w:pPr>
                  <w:r>
                    <w:rPr>
                      <w:sz w:val="24"/>
                    </w:rPr>
                    <w:t>编号：【202X】202X年第XXX号</w:t>
                  </w:r>
                </w:p>
                <w:p>
                  <w:pPr>
                    <w:pStyle w:val="null3"/>
                    <w:jc w:val="both"/>
                  </w:pPr>
                  <w:r>
                    <w:rPr>
                      <w:sz w:val="24"/>
                    </w:rPr>
                    <w:t>XXXXXXXXX公司：</w:t>
                  </w:r>
                </w:p>
                <w:p>
                  <w:pPr>
                    <w:pStyle w:val="null3"/>
                    <w:ind w:firstLine="480"/>
                    <w:jc w:val="both"/>
                  </w:pPr>
                  <w:r>
                    <w:rPr>
                      <w:sz w:val="24"/>
                    </w:rPr>
                    <w:t>你公司于年月日在履行</w:t>
                  </w:r>
                  <w:r>
                    <w:rPr>
                      <w:sz w:val="24"/>
                      <w:b/>
                      <w:u w:val="single"/>
                    </w:rPr>
                    <w:t xml:space="preserve">                            </w:t>
                  </w:r>
                  <w:r>
                    <w:rPr>
                      <w:sz w:val="24"/>
                    </w:rPr>
                    <w:t>工作中未按照合同约定履行义务，</w:t>
                  </w:r>
                  <w:r>
                    <w:rPr>
                      <w:sz w:val="24"/>
                      <w:color w:val="000000"/>
                    </w:rPr>
                    <w:t>出现如下情形</w:t>
                  </w:r>
                  <w:r>
                    <w:rPr>
                      <w:sz w:val="24"/>
                    </w:rPr>
                    <w:t>：</w:t>
                  </w:r>
                </w:p>
                <w:p>
                  <w:pPr>
                    <w:pStyle w:val="null3"/>
                    <w:ind w:firstLine="420"/>
                    <w:jc w:val="both"/>
                  </w:pPr>
                  <w:r>
                    <w:rPr>
                      <w:sz w:val="24"/>
                    </w:rPr>
                    <w:t>特通知你公司，依据《服务项目合同书》第X条第X 款第X项的规定，请于年月日前；将整改结果函告我单位。逾期不改，造成后果将根据合同约定扣分及扣款，并将依法追究相应责任。</w:t>
                  </w:r>
                </w:p>
                <w:p>
                  <w:pPr>
                    <w:pStyle w:val="null3"/>
                    <w:ind w:firstLine="480"/>
                    <w:jc w:val="both"/>
                  </w:pPr>
                  <w:r>
                    <w:rPr>
                      <w:sz w:val="24"/>
                    </w:rPr>
                    <w:t>（盖章）</w:t>
                  </w:r>
                </w:p>
                <w:p>
                  <w:pPr>
                    <w:pStyle w:val="null3"/>
                    <w:jc w:val="center"/>
                  </w:pPr>
                  <w:r>
                    <w:rPr>
                      <w:sz w:val="24"/>
                    </w:rPr>
                    <w:t>年月日</w:t>
                  </w:r>
                </w:p>
                <w:p>
                  <w:pPr>
                    <w:pStyle w:val="null3"/>
                    <w:jc w:val="center"/>
                  </w:pPr>
                  <w:r>
                    <w:rPr>
                      <w:sz w:val="24"/>
                    </w:rPr>
                    <w:t>（联系人：XXX，联系电话：XXXXXXXXX）</w:t>
                  </w:r>
                </w:p>
              </w:tc>
            </w:tr>
            <w:tr>
              <w:tc>
                <w:tcPr>
                  <w:tcW w:type="dxa" w:w="5542"/>
                  <w:tcBorders>
                    <w:top w:val="none" w:color="000000" w:sz="4"/>
                    <w:left w:val="double" w:color="000000" w:sz="48"/>
                    <w:bottom w:val="double" w:color="000000" w:sz="48"/>
                    <w:right w:val="double" w:color="000000" w:sz="48"/>
                  </w:tcBorders>
                  <w:tcMar>
                    <w:top w:type="dxa" w:w="0"/>
                    <w:left w:type="dxa" w:w="105"/>
                    <w:bottom w:type="dxa" w:w="0"/>
                    <w:right w:type="dxa" w:w="105"/>
                  </w:tcMar>
                  <w:vAlign w:val="top"/>
                </w:tcPr>
                <w:p>
                  <w:pPr>
                    <w:pStyle w:val="null3"/>
                    <w:jc w:val="both"/>
                  </w:pPr>
                  <w:r>
                    <w:rPr>
                      <w:sz w:val="24"/>
                    </w:rPr>
                    <w:t>被通知公司负责人或委托人签收：</w:t>
                  </w:r>
                </w:p>
              </w:tc>
            </w:tr>
          </w:tbl>
          <w:p>
            <w:pPr>
              <w:pStyle w:val="null3"/>
            </w:pPr>
            <w:r>
              <w:rPr/>
              <w:t xml:space="preserve"> </w:t>
            </w:r>
          </w:p>
          <w:p>
            <w:pPr>
              <w:pStyle w:val="null3"/>
            </w:pPr>
            <w:r>
              <w:rPr/>
              <w:t xml:space="preserve"> </w:t>
            </w:r>
          </w:p>
          <w:p>
            <w:pPr>
              <w:pStyle w:val="null3"/>
              <w:jc w:val="both"/>
            </w:pPr>
            <w:r>
              <w:rPr>
                <w:sz w:val="24"/>
                <w:b/>
              </w:rPr>
              <w:t>附件2：</w:t>
            </w:r>
            <w:r>
              <w:rPr>
                <w:sz w:val="24"/>
                <w:b/>
                <w:color w:val="000000"/>
              </w:rPr>
              <w:t>涉案车辆拖吊服务</w:t>
            </w:r>
            <w:r>
              <w:rPr>
                <w:sz w:val="24"/>
                <w:b/>
                <w:color w:val="000000"/>
              </w:rPr>
              <w:t>月度考评总表</w:t>
            </w:r>
          </w:p>
          <w:p>
            <w:pPr>
              <w:pStyle w:val="null3"/>
              <w:jc w:val="center"/>
            </w:pPr>
            <w:r>
              <w:rPr>
                <w:sz w:val="24"/>
                <w:b/>
                <w:color w:val="000000"/>
              </w:rPr>
              <w:t>涉案车辆</w:t>
            </w:r>
            <w:r>
              <w:rPr>
                <w:sz w:val="24"/>
                <w:b/>
                <w:color w:val="000000"/>
              </w:rPr>
              <w:t>拖吊服务月度考评总表</w:t>
            </w:r>
          </w:p>
          <w:p>
            <w:pPr>
              <w:pStyle w:val="null3"/>
              <w:jc w:val="center"/>
            </w:pPr>
            <w:r>
              <w:rPr>
                <w:sz w:val="24"/>
                <w:b/>
                <w:color w:val="000000"/>
              </w:rPr>
              <w:t xml:space="preserve">                                     （202  年  月）</w:t>
            </w:r>
          </w:p>
          <w:p>
            <w:pPr>
              <w:pStyle w:val="null3"/>
            </w:pPr>
            <w:r>
              <w:rPr>
                <w:sz w:val="24"/>
                <w:color w:val="000000"/>
              </w:rPr>
              <w:t>单位（盖章）：</w:t>
            </w:r>
          </w:p>
          <w:tbl>
            <w:tblPr>
              <w:tblInd w:type="dxa" w:w="90"/>
            </w:tblPr>
            <w:tblGrid>
              <w:gridCol w:w="1211"/>
              <w:gridCol w:w="373"/>
              <w:gridCol w:w="373"/>
              <w:gridCol w:w="373"/>
              <w:gridCol w:w="373"/>
              <w:gridCol w:w="373"/>
              <w:gridCol w:w="373"/>
              <w:gridCol w:w="373"/>
              <w:gridCol w:w="1723"/>
            </w:tblGrid>
            <w:tr>
              <w:tc>
                <w:tcPr>
                  <w:tcW w:type="dxa" w:w="1957"/>
                  <w:gridSpan w:val="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t xml:space="preserve"> </w:t>
                  </w:r>
                </w:p>
              </w:tc>
              <w:tc>
                <w:tcPr>
                  <w:tcW w:type="dxa" w:w="37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37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37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37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37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tcP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扣分项目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总扣分数（分）</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拖吊服务</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拖吊项目扣分数（分）</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得分：    分   （100-总扣分数）</w:t>
                  </w:r>
                </w:p>
              </w:tc>
              <w:tc>
                <w:tcPr>
                  <w:tcW w:type="dxa" w:w="433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附证件材料：  份。</w:t>
                  </w:r>
                </w:p>
                <w:p>
                  <w:pPr>
                    <w:pStyle w:val="null3"/>
                    <w:jc w:val="left"/>
                  </w:pPr>
                  <w:r>
                    <w:rPr>
                      <w:sz w:val="24"/>
                      <w:color w:val="000000"/>
                    </w:rPr>
                    <w:t>1、扣分需要提交证据材料，如照片或书面材料等；</w:t>
                  </w:r>
                </w:p>
                <w:p>
                  <w:pPr>
                    <w:pStyle w:val="null3"/>
                    <w:jc w:val="left"/>
                  </w:pPr>
                  <w:r>
                    <w:rPr>
                      <w:sz w:val="24"/>
                      <w:color w:val="000000"/>
                    </w:rPr>
                    <w:t>2、扣分必须是证据充分。</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备注</w:t>
                  </w:r>
                </w:p>
              </w:tc>
              <w:tc>
                <w:tcPr>
                  <w:tcW w:type="dxa" w:w="4334"/>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该考评表按涉案车辆拖吊服务进行评分，涉及扣分项目将在对应的项目中按比例扣减当月的服务费用。</w:t>
                  </w:r>
                </w:p>
              </w:tc>
            </w:tr>
          </w:tbl>
          <w:p>
            <w:pPr>
              <w:pStyle w:val="null3"/>
            </w:pPr>
            <w:r>
              <w:rPr>
                <w:sz w:val="24"/>
                <w:color w:val="000000"/>
              </w:rPr>
              <w:t>填表人：</w:t>
            </w:r>
            <w:r>
              <w:rPr/>
              <w:t xml:space="preserve">                      </w:t>
            </w:r>
            <w:r>
              <w:rPr>
                <w:sz w:val="24"/>
                <w:color w:val="000000"/>
              </w:rPr>
              <w:t xml:space="preserve">单位负责人：                     </w:t>
            </w:r>
            <w:r>
              <w:rPr>
                <w:sz w:val="24"/>
                <w:color w:val="000000"/>
              </w:rPr>
              <w:t>填报日期：</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采购包2（证据保存车辆保管服务）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合同签订后24个月，合同服务期到期或本采购包的预算金额用完时服务合同终止。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款项)：支付比例100%，实际服务费按月结算，每月支付一次。中标人须在每月10日前向采购人提供相关资料以及等额的正式发票，供采购人审核，以便采购人办理财政支付手续，采购人审核通过后，中标人应于5个工作日内向采购人申请付款，采购人收到中标人的申请以及全部付款资料后，5个工作日内办理财政支付手续．实际支付时间由区财政局安排。 在全部服务期结束，且中标人在配合采购人做好下一周期供应商交接工作后的五个工作日内，采购人办理财政支付手续支付最后一期实际服务费。 因采购人使用的是财政资金，采购人在前款规定的付款时间为向政府采购支付部门提供财政支付申请手续时间（不含采购人或采购人上级部门审核时间），在规定时间内提出支付手续后即视为采购人已经按期支付．由于财政拨款不到位而导致采购人逾期付款的，采购人不承担违约责任。 采购人收到中标人开具的符合法律规定和采购人要求的相应金额的增值税专用发票后才具有付款义务，中标人未开具或者逾期提供的，采购人有权拒绝付款且不视为违约。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服务完成后，以项目的招标文件和中标人的投标文件为验收依据，验收由采购人组织，中标人配合进行，组织验收并出具项目验收报告。服务或产品若有国家标准按照国家标准验收，若无国家标准按行业标准验收，为在中国境内可依常规安全合法使用，同时符合本合同约定的服务要求。</w:t>
            </w:r>
          </w:p>
        </w:tc>
      </w:tr>
      <w:tr>
        <w:tc>
          <w:tcPr>
            <w:tcW w:type="dxa" w:w="4153"/>
          </w:tcPr>
          <w:p>
            <w:pPr>
              <w:pStyle w:val="null3"/>
            </w:pPr>
            <w:r>
              <w:rPr/>
              <w:t>履约保证金</w:t>
            </w:r>
          </w:p>
        </w:tc>
        <w:tc>
          <w:tcPr>
            <w:tcW w:type="dxa" w:w="4153"/>
          </w:tcPr>
          <w:p>
            <w:pPr>
              <w:pStyle w:val="null3"/>
            </w:pPr>
            <w:r>
              <w:rPr/>
              <w:t>收取比例：3%,说明：项目合同签订后30天内，中标人须向采购人提交中标采购包合同的履约保证金，金额为中标采购包合同价的3%，履约保证金不可撤销、无条件的《银行履约保函》的形式提交。该银行履约保函须为注册在中国、营业地在广州的银行出具的、无条件的、不可撤销的，保函有效期至项目质保期满之日起30天后自动失效。下列任何一种情况发生时，采购人有权没收银行履约保函中的履约保证金：1、有明显证据证明中标人未履行本合同约定的；2、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合同签订，根据《广州市财政局关于进一步提升政府采购效率和透明度的通知》(穗财采(2024)106)的规定，采购人自中标通知书发出之日起10个工作日内，按照采购文件确定的事项与中标供应商签订政府采购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其他交通运输、仓储服务</w:t>
            </w:r>
          </w:p>
        </w:tc>
        <w:tc>
          <w:tcPr>
            <w:tcW w:type="dxa" w:w="933"/>
          </w:tcPr>
          <w:p>
            <w:pPr>
              <w:pStyle w:val="null3"/>
              <w:jc w:val="left"/>
            </w:pPr>
            <w:r>
              <w:rPr/>
              <w:t>证据保存车辆保管服务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8,447,500.00</w:t>
            </w:r>
          </w:p>
        </w:tc>
        <w:tc>
          <w:tcPr>
            <w:tcW w:type="dxa" w:w="933"/>
          </w:tcPr>
          <w:p>
            <w:pPr>
              <w:pStyle w:val="null3"/>
              <w:jc w:val="right"/>
            </w:pPr>
            <w:r>
              <w:rPr/>
              <w:t>8,447,500.00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证据保存车辆保管服务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 采购需求》。</w:t>
            </w:r>
            <w:r>
              <w:rPr/>
              <w:t xml:space="preserve"> </w:t>
            </w:r>
          </w:p>
          <w:p>
            <w:pPr>
              <w:pStyle w:val="null3"/>
              <w:jc w:val="left"/>
            </w:pPr>
            <w:r>
              <w:rPr>
                <w:sz w:val="24"/>
                <w:b/>
                <w:color w:val="000000"/>
              </w:rPr>
              <w:t>附件</w:t>
            </w:r>
            <w:r>
              <w:rPr>
                <w:sz w:val="24"/>
                <w:b/>
                <w:color w:val="000000"/>
              </w:rPr>
              <w:t>1</w:t>
            </w:r>
            <w:r>
              <w:rPr>
                <w:sz w:val="24"/>
                <w:b/>
                <w:color w:val="000000"/>
              </w:rPr>
              <w:t>：整改通知书</w:t>
            </w:r>
          </w:p>
          <w:tbl>
            <w:tblPr>
              <w:tblBorders>
                <w:top w:val="none" w:color="000000" w:sz="4"/>
                <w:left w:val="none" w:color="000000" w:sz="4"/>
                <w:bottom w:val="none" w:color="000000" w:sz="4"/>
                <w:right w:val="none" w:color="000000" w:sz="4"/>
                <w:insideH w:val="none"/>
                <w:insideV w:val="none"/>
              </w:tblBorders>
            </w:tblPr>
            <w:tblGrid>
              <w:gridCol w:w="5542"/>
            </w:tblGrid>
            <w:tr>
              <w:tc>
                <w:tcPr>
                  <w:tcW w:type="dxa" w:w="5542"/>
                  <w:tcBorders>
                    <w:top w:val="double" w:color="000000" w:sz="48"/>
                    <w:left w:val="double" w:color="000000" w:sz="48"/>
                    <w:bottom w:val="single" w:color="000000" w:sz="4"/>
                    <w:right w:val="double" w:color="000000" w:sz="48"/>
                  </w:tcBorders>
                  <w:tcMar>
                    <w:top w:type="dxa" w:w="0"/>
                    <w:left w:type="dxa" w:w="105"/>
                    <w:bottom w:type="dxa" w:w="0"/>
                    <w:right w:type="dxa" w:w="105"/>
                  </w:tcMar>
                  <w:vAlign w:val="top"/>
                </w:tcPr>
                <w:p>
                  <w:pPr>
                    <w:pStyle w:val="null3"/>
                    <w:jc w:val="both"/>
                  </w:pPr>
                  <w:r>
                    <w:rPr>
                      <w:sz w:val="24"/>
                      <w:b/>
                    </w:rPr>
                    <w:t>广州市公安局交警支队增城大队涉案车场保管服务项目整改通知书</w:t>
                  </w:r>
                </w:p>
                <w:p>
                  <w:pPr>
                    <w:pStyle w:val="null3"/>
                    <w:jc w:val="center"/>
                  </w:pPr>
                  <w:r>
                    <w:rPr>
                      <w:sz w:val="24"/>
                    </w:rPr>
                    <w:t>编号：【202X】202X年第XXX号</w:t>
                  </w:r>
                </w:p>
                <w:p>
                  <w:pPr>
                    <w:pStyle w:val="null3"/>
                    <w:jc w:val="both"/>
                  </w:pPr>
                  <w:r>
                    <w:rPr>
                      <w:sz w:val="24"/>
                    </w:rPr>
                    <w:t>XXXXXXXXX公司：</w:t>
                  </w:r>
                </w:p>
                <w:p>
                  <w:pPr>
                    <w:pStyle w:val="null3"/>
                    <w:ind w:firstLine="480"/>
                    <w:jc w:val="both"/>
                  </w:pPr>
                  <w:r>
                    <w:rPr>
                      <w:sz w:val="24"/>
                    </w:rPr>
                    <w:t>你公司于年月日在履行</w:t>
                  </w:r>
                  <w:r>
                    <w:rPr>
                      <w:sz w:val="24"/>
                      <w:b/>
                      <w:u w:val="single"/>
                    </w:rPr>
                    <w:t xml:space="preserve">                            </w:t>
                  </w:r>
                  <w:r>
                    <w:rPr>
                      <w:sz w:val="24"/>
                    </w:rPr>
                    <w:t>工作中未按照合同约定履行义务，</w:t>
                  </w:r>
                  <w:r>
                    <w:rPr>
                      <w:sz w:val="24"/>
                      <w:color w:val="000000"/>
                    </w:rPr>
                    <w:t>出现如下情形</w:t>
                  </w:r>
                  <w:r>
                    <w:rPr>
                      <w:sz w:val="24"/>
                    </w:rPr>
                    <w:t>：</w:t>
                  </w:r>
                </w:p>
                <w:p>
                  <w:pPr>
                    <w:pStyle w:val="null3"/>
                    <w:ind w:firstLine="420"/>
                    <w:jc w:val="both"/>
                  </w:pPr>
                  <w:r>
                    <w:rPr>
                      <w:sz w:val="24"/>
                    </w:rPr>
                    <w:t>特通知你公司，依据《服务项目合同书》第X条第X 款第X项的规定，请于年月日前；将整改结果函告我单位。逾期不改，造成后果将根据合同约定扣分及扣款，并将依法追究相应责任。</w:t>
                  </w:r>
                </w:p>
                <w:p>
                  <w:pPr>
                    <w:pStyle w:val="null3"/>
                    <w:ind w:firstLine="480"/>
                    <w:jc w:val="both"/>
                  </w:pPr>
                  <w:r>
                    <w:rPr>
                      <w:sz w:val="24"/>
                    </w:rPr>
                    <w:t>（盖章）</w:t>
                  </w:r>
                </w:p>
                <w:p>
                  <w:pPr>
                    <w:pStyle w:val="null3"/>
                    <w:jc w:val="center"/>
                  </w:pPr>
                  <w:r>
                    <w:rPr>
                      <w:sz w:val="24"/>
                    </w:rPr>
                    <w:t>年月日</w:t>
                  </w:r>
                </w:p>
                <w:p>
                  <w:pPr>
                    <w:pStyle w:val="null3"/>
                    <w:jc w:val="center"/>
                  </w:pPr>
                  <w:r>
                    <w:rPr>
                      <w:sz w:val="24"/>
                    </w:rPr>
                    <w:t>（联系人：XXX，联系电话：XXXXXXXXX）</w:t>
                  </w:r>
                </w:p>
              </w:tc>
            </w:tr>
            <w:tr>
              <w:tc>
                <w:tcPr>
                  <w:tcW w:type="dxa" w:w="5542"/>
                  <w:tcBorders>
                    <w:top w:val="none" w:color="000000" w:sz="4"/>
                    <w:left w:val="double" w:color="000000" w:sz="48"/>
                    <w:bottom w:val="double" w:color="000000" w:sz="48"/>
                    <w:right w:val="double" w:color="000000" w:sz="48"/>
                  </w:tcBorders>
                  <w:tcMar>
                    <w:top w:type="dxa" w:w="0"/>
                    <w:left w:type="dxa" w:w="105"/>
                    <w:bottom w:type="dxa" w:w="0"/>
                    <w:right w:type="dxa" w:w="105"/>
                  </w:tcMar>
                  <w:vAlign w:val="top"/>
                </w:tcPr>
                <w:p>
                  <w:pPr>
                    <w:pStyle w:val="null3"/>
                    <w:jc w:val="both"/>
                  </w:pPr>
                  <w:r>
                    <w:rPr>
                      <w:sz w:val="24"/>
                    </w:rPr>
                    <w:t>被通知公司负责人或委托人签收：</w:t>
                  </w:r>
                </w:p>
              </w:tc>
            </w:tr>
          </w:tbl>
          <w:p>
            <w:pPr>
              <w:pStyle w:val="null3"/>
            </w:pPr>
            <w:r>
              <w:rPr/>
              <w:t xml:space="preserve"> </w:t>
            </w:r>
          </w:p>
          <w:p>
            <w:pPr>
              <w:pStyle w:val="null3"/>
            </w:pPr>
            <w:r>
              <w:rPr/>
              <w:t xml:space="preserve"> </w:t>
            </w:r>
          </w:p>
          <w:p>
            <w:pPr>
              <w:pStyle w:val="null3"/>
            </w:pPr>
            <w:r>
              <w:rPr>
                <w:sz w:val="24"/>
                <w:b/>
                <w:color w:val="000000"/>
              </w:rPr>
              <w:t>附件2：</w:t>
            </w:r>
          </w:p>
          <w:p>
            <w:pPr>
              <w:pStyle w:val="null3"/>
              <w:jc w:val="center"/>
            </w:pPr>
            <w:r>
              <w:rPr>
                <w:sz w:val="24"/>
                <w:b/>
                <w:color w:val="000000"/>
              </w:rPr>
              <w:t>涉案车辆</w:t>
            </w:r>
            <w:r>
              <w:rPr>
                <w:sz w:val="24"/>
                <w:b/>
                <w:color w:val="000000"/>
              </w:rPr>
              <w:t>保管服务月度考评总表</w:t>
            </w:r>
          </w:p>
          <w:p>
            <w:pPr>
              <w:pStyle w:val="null3"/>
              <w:jc w:val="center"/>
            </w:pPr>
            <w:r>
              <w:rPr>
                <w:sz w:val="24"/>
                <w:b/>
                <w:color w:val="000000"/>
              </w:rPr>
              <w:t xml:space="preserve">                  （202  年  月）</w:t>
            </w:r>
          </w:p>
          <w:p>
            <w:pPr>
              <w:pStyle w:val="null3"/>
            </w:pPr>
            <w:r>
              <w:rPr>
                <w:sz w:val="24"/>
                <w:color w:val="000000"/>
              </w:rPr>
              <w:t>单位（盖章）：交警大队</w:t>
            </w:r>
          </w:p>
          <w:tbl>
            <w:tblGrid>
              <w:gridCol w:w="1478"/>
              <w:gridCol w:w="422"/>
              <w:gridCol w:w="422"/>
              <w:gridCol w:w="422"/>
              <w:gridCol w:w="422"/>
              <w:gridCol w:w="422"/>
              <w:gridCol w:w="422"/>
              <w:gridCol w:w="422"/>
              <w:gridCol w:w="1108"/>
            </w:tblGrid>
            <w:tr>
              <w:tc>
                <w:tcPr>
                  <w:tcW w:type="dxa" w:w="2322"/>
                  <w:gridSpan w:val="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t xml:space="preserve"> </w:t>
                  </w:r>
                </w:p>
              </w:tc>
              <w:tc>
                <w:tcPr>
                  <w:tcW w:type="dxa" w:w="422"/>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422"/>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422"/>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422"/>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422"/>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1108"/>
                  <w:tcBorders>
                    <w:top w:val="none" w:color="000000" w:sz="4"/>
                    <w:left w:val="none" w:color="000000" w:sz="4"/>
                    <w:bottom w:val="single" w:color="000000" w:sz="4"/>
                    <w:right w:val="none" w:color="000000" w:sz="4"/>
                  </w:tcBorders>
                  <w:tcMar>
                    <w:top w:type="dxa" w:w="0"/>
                    <w:left w:type="dxa" w:w="105"/>
                    <w:bottom w:type="dxa" w:w="0"/>
                    <w:right w:type="dxa" w:w="105"/>
                  </w:tcMar>
                </w:tcP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扣分项目</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总扣分数（分）</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保管服务</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保管项目扣分数（分）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得分：     分   （100-总扣分数）</w:t>
                  </w:r>
                </w:p>
              </w:tc>
              <w:tc>
                <w:tcPr>
                  <w:tcW w:type="dxa" w:w="4062"/>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 xml:space="preserve">附证件材料：   份。 </w:t>
                  </w:r>
                </w:p>
                <w:p>
                  <w:pPr>
                    <w:pStyle w:val="null3"/>
                    <w:jc w:val="left"/>
                  </w:pPr>
                  <w:r>
                    <w:rPr>
                      <w:sz w:val="24"/>
                      <w:color w:val="000000"/>
                    </w:rPr>
                    <w:t>1、扣分需要提交证据材料，如照片或书面材料等；</w:t>
                  </w:r>
                </w:p>
                <w:p>
                  <w:pPr>
                    <w:pStyle w:val="null3"/>
                    <w:jc w:val="left"/>
                  </w:pPr>
                  <w:r>
                    <w:rPr>
                      <w:sz w:val="24"/>
                      <w:color w:val="000000"/>
                    </w:rPr>
                    <w:t>2、扣分必须是证据充分。</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备注</w:t>
                  </w:r>
                </w:p>
              </w:tc>
              <w:tc>
                <w:tcPr>
                  <w:tcW w:type="dxa" w:w="4062"/>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该考评表按涉案车辆保管两部分进行评分，涉及扣分项目将在对应的项目中按比例扣减当月的服务费用。</w:t>
                  </w:r>
                </w:p>
              </w:tc>
            </w:tr>
          </w:tbl>
          <w:p>
            <w:pPr>
              <w:pStyle w:val="null3"/>
            </w:pPr>
            <w:r>
              <w:rPr>
                <w:sz w:val="24"/>
                <w:color w:val="000000"/>
              </w:rPr>
              <w:t xml:space="preserve">填表人：               </w:t>
            </w:r>
            <w:r>
              <w:rPr/>
              <w:t xml:space="preserve"> </w:t>
            </w:r>
            <w:r>
              <w:rPr>
                <w:sz w:val="24"/>
                <w:color w:val="000000"/>
              </w:rPr>
              <w:t xml:space="preserve">单位负责人：              </w:t>
            </w:r>
            <w:r>
              <w:rPr>
                <w:sz w:val="24"/>
                <w:color w:val="000000"/>
              </w:rPr>
              <w:t>填报日期：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踏勘时间：2025-04-01 10:00</w:t>
            </w:r>
          </w:p>
          <w:p>
            <w:pPr>
              <w:pStyle w:val="null3"/>
            </w:pPr>
            <w:r>
              <w:rPr/>
              <w:t>踏勘地点：增城区荔城街府佑路99号增城区公安分局（根据本项目采购包2特点，为了便于投标人了解场地现状，以便使投标人自行查明或核实有关编制投标文件所需的一切资料,本项目集中踏勘场地，投标人在2025年 4月1日10：00前在增城区荔城街府佑路99号增城区公安分局集合前往场地踏勘（采购人联系人：王警官，电话：138 0280 6113），过期概不负责。查勘现场的交通工具、安全、费用等-切事宜由投标人自行负责。）</w:t>
            </w:r>
          </w:p>
          <w:p>
            <w:pPr>
              <w:pStyle w:val="null3"/>
            </w:pPr>
            <w:r>
              <w:rPr/>
              <w:t>联系人姓名：王警官</w:t>
            </w:r>
          </w:p>
          <w:p>
            <w:pPr>
              <w:pStyle w:val="null3"/>
            </w:pPr>
            <w:r>
              <w:rPr/>
              <w:t>联系人电话：13802806113</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兼投兼中：可兼投兼中。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供应商须向采购代理机构交纳的招标服务费，参考国家计委颁布的《招标代理服务收费管理暂行办法》（计价格【2002】1980号文）标准执行，本项目的招标服务费执行以下价格： （1）招标服务费不在投标报价中单列； （2）各采购包预算金额在100万以下的，代理服务费按1.5%计算；101万到500万的，按0.8%计算…… （3）招标服务费币种与《中标通知书》的币种相同； （4）中标供应商在领取《中标通知书》时，必须按《采购代理服务费支付承诺书》向采购代理机构直接交纳招标服务费。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采购包1(拖吊车及交通清障服务)：综合评分法,是指投标文件满足招标文件全部实质性要求，且按照评审因素的量化指标评审得分最高的投标人为中标候选人的评标方法。（最低报价不是中标的唯一依据。）</w:t>
      </w:r>
    </w:p>
    <w:p>
      <w:pPr>
        <w:pStyle w:val="null3"/>
      </w:pPr>
      <w:r>
        <w:rPr/>
        <w:t>采购包2(证据保存车辆保管服务)：综合评分法,是指投标文件满足招标文件全部实质性要求，且按照评审因素的量化指标评审得分最高的投标人为中标候选人的评标方法。（最低报价不是中标的唯一依据。）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采购包1（拖吊车及交通清障服务）：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采购包2（证据保存车辆保管服务）：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采购包1（拖吊车及交通清障服务）：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交通运输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采购包2（证据保存车辆保管服务）：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采购包1（拖吊车及交通清障服务）：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投标人对“拖吊作业服务”、“ 交通保障服务”、“ 其他清障作业”及“空驶”的基准价做统一的折扣率报价，投标折扣率区间为0－100％，须为固定值（如20%），不得存在区间值（如20%～25%），否则将被视无效投标。</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采购包2（证据保存车辆保管服务）：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投标人须分别对“场地改造费用”“车辆搬迁费” “证据保存车辆保管服务费”进行折扣率报价，投标折扣率区间为0-100%，须为固定值（如20%），不得存在区间值（如20%～25%），否则将被视无效投标。“开标一览表”中“投标报价”须填写为本采购包的预算金额8,447,500.00元，未按要求填写将视为无效投标。</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采购包1(拖吊车及交通清障服务):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服务方案1 (4.0分)</w:t>
            </w:r>
          </w:p>
        </w:tc>
        <w:tc>
          <w:tcPr>
            <w:tcW w:type="dxa" w:w="5076"/>
          </w:tcPr>
          <w:p>
            <w:pPr>
              <w:pStyle w:val="null3"/>
              <w:jc w:val="left"/>
            </w:pPr>
            <w:r>
              <w:rPr/>
              <w:t>根据投标人提供的服务方案进行评审，能提供①拖吊服务方案(包括但不限于服务内容、流程、道路救援作业规范、时效等)；②拖吊车辆、交通清障辅助设备的配置及调度方案；③作业人员的配置及管理方案；④针对本项目的各项管理目标及制度等；每项得1分，最高4分。未提供或未按要求提供的不得分。</w:t>
            </w:r>
          </w:p>
        </w:tc>
      </w:tr>
      <w:tr>
        <w:tc>
          <w:tcPr>
            <w:tcW w:type="dxa" w:w="922"/>
            <w:gridSpan w:val="2"/>
            <w:vMerge/>
          </w:tcPr>
          <w:p/>
        </w:tc>
        <w:tc>
          <w:tcPr>
            <w:tcW w:type="dxa" w:w="2307"/>
          </w:tcPr>
          <w:p>
            <w:pPr>
              <w:pStyle w:val="null3"/>
              <w:jc w:val="left"/>
            </w:pPr>
            <w:r>
              <w:rPr/>
              <w:t>服务方案2 (8.0分)</w:t>
            </w:r>
          </w:p>
        </w:tc>
        <w:tc>
          <w:tcPr>
            <w:tcW w:type="dxa" w:w="5076"/>
          </w:tcPr>
          <w:p>
            <w:pPr>
              <w:pStyle w:val="null3"/>
              <w:jc w:val="left"/>
            </w:pPr>
            <w:r>
              <w:rPr/>
              <w:t>根据“服务方案1”所提供的方案内容进行评审： （1）服务方案详尽具体且有针对性,满足且能优于采购需求的，得8分。 （2）服务方案详尽、部分有针对性，完全满足采购需求的，得5分。 （3）服务方案具体，部分满足采购需求的，得2分。 （4）不能满足采购需求或其他情况的，不得分。</w:t>
            </w:r>
          </w:p>
        </w:tc>
      </w:tr>
      <w:tr>
        <w:tc>
          <w:tcPr>
            <w:tcW w:type="dxa" w:w="922"/>
            <w:gridSpan w:val="2"/>
            <w:vMerge/>
          </w:tcPr>
          <w:p/>
        </w:tc>
        <w:tc>
          <w:tcPr>
            <w:tcW w:type="dxa" w:w="2307"/>
          </w:tcPr>
          <w:p>
            <w:pPr>
              <w:pStyle w:val="null3"/>
              <w:jc w:val="left"/>
            </w:pPr>
            <w:r>
              <w:rPr/>
              <w:t>安全及质量保证措施 1 (3.0分)</w:t>
            </w:r>
          </w:p>
        </w:tc>
        <w:tc>
          <w:tcPr>
            <w:tcW w:type="dxa" w:w="5076"/>
          </w:tcPr>
          <w:p>
            <w:pPr>
              <w:pStyle w:val="null3"/>
              <w:jc w:val="left"/>
            </w:pPr>
            <w:r>
              <w:rPr/>
              <w:t>根据投标人提供的安全及质量保证措施进行评审，能提供①安全生产责任制方案（包括但不限于安全目标、作业人员安全管理规定、拖吊作业安全作业规定、保险等）；②质量保证措施（包括但不限于质量保障承诺、作业人员技能培训、作业设备的维护管理等）；每项得1.5分，最高3分。未提供或未按要求提供的不得分。</w:t>
            </w:r>
          </w:p>
        </w:tc>
      </w:tr>
      <w:tr>
        <w:tc>
          <w:tcPr>
            <w:tcW w:type="dxa" w:w="922"/>
            <w:gridSpan w:val="2"/>
            <w:vMerge/>
          </w:tcPr>
          <w:p/>
        </w:tc>
        <w:tc>
          <w:tcPr>
            <w:tcW w:type="dxa" w:w="2307"/>
          </w:tcPr>
          <w:p>
            <w:pPr>
              <w:pStyle w:val="null3"/>
              <w:jc w:val="left"/>
            </w:pPr>
            <w:r>
              <w:rPr/>
              <w:t>安全及质量保证措施2 (5.0分)</w:t>
            </w:r>
          </w:p>
        </w:tc>
        <w:tc>
          <w:tcPr>
            <w:tcW w:type="dxa" w:w="5076"/>
          </w:tcPr>
          <w:p>
            <w:pPr>
              <w:pStyle w:val="null3"/>
              <w:jc w:val="left"/>
            </w:pPr>
            <w:r>
              <w:rPr/>
              <w:t>根据“安全及质量保证措施1”所提供的保障措施内容进行评审： （1）措施描述严谨、完整合理、切实可行，质量保障承诺明确、可执行性高，满足且能优于采购需求的，得5分。 （2）措施描述完整合理、可行，质量保障承诺明确、具有可执行性，完全满足采购需求的，得3分。 （3）措施描述完整、有一定的合理性和可行性，质量保障承诺较为明确、有一定的可执行性，部分满足采购需求的，得1分。 （4）不能满足采购需求或其他情况的，不得分。</w:t>
            </w:r>
          </w:p>
        </w:tc>
      </w:tr>
      <w:tr>
        <w:tc>
          <w:tcPr>
            <w:tcW w:type="dxa" w:w="922"/>
            <w:gridSpan w:val="2"/>
            <w:vMerge/>
          </w:tcPr>
          <w:p/>
        </w:tc>
        <w:tc>
          <w:tcPr>
            <w:tcW w:type="dxa" w:w="2307"/>
          </w:tcPr>
          <w:p>
            <w:pPr>
              <w:pStyle w:val="null3"/>
              <w:jc w:val="left"/>
            </w:pPr>
            <w:r>
              <w:rPr/>
              <w:t>服务响应时间的保障措施1 (3.0分)</w:t>
            </w:r>
          </w:p>
        </w:tc>
        <w:tc>
          <w:tcPr>
            <w:tcW w:type="dxa" w:w="5076"/>
          </w:tcPr>
          <w:p>
            <w:pPr>
              <w:pStyle w:val="null3"/>
              <w:jc w:val="left"/>
            </w:pPr>
            <w:r>
              <w:rPr/>
              <w:t>根据投标人提供的服务响应时间的保障措施进行评审，能提供①服务响应时间的保障措施，得1分，不提供不得分；②保障措施能同时包括拖车到场时限、现场清理作业时限、现场作业完成后入场时限的内容的，得2分。</w:t>
            </w:r>
          </w:p>
        </w:tc>
      </w:tr>
      <w:tr>
        <w:tc>
          <w:tcPr>
            <w:tcW w:type="dxa" w:w="922"/>
            <w:gridSpan w:val="2"/>
            <w:vMerge/>
          </w:tcPr>
          <w:p/>
        </w:tc>
        <w:tc>
          <w:tcPr>
            <w:tcW w:type="dxa" w:w="2307"/>
          </w:tcPr>
          <w:p>
            <w:pPr>
              <w:pStyle w:val="null3"/>
              <w:jc w:val="left"/>
            </w:pPr>
            <w:r>
              <w:rPr/>
              <w:t>服务响应时间的保障措施2 (5.0分)</w:t>
            </w:r>
          </w:p>
        </w:tc>
        <w:tc>
          <w:tcPr>
            <w:tcW w:type="dxa" w:w="5076"/>
          </w:tcPr>
          <w:p>
            <w:pPr>
              <w:pStyle w:val="null3"/>
              <w:jc w:val="left"/>
            </w:pPr>
            <w:r>
              <w:rPr/>
              <w:t>根据“服务响应时间的保障措施1”所提供的响应时间及保障措施内容进行评审： （1）措施描述严谨、完整合理、切实可行，满足且能优于采购需求的，得5分。 （2）措施描述完整合理、可行，完全满足采购需求的，得3分。 （3）措施描述完整、有一定的合理性和可行性，部分满足采购需求的，得1分。 （4）不能满足采购需求或其他情况的，不得分。</w:t>
            </w:r>
          </w:p>
        </w:tc>
      </w:tr>
      <w:tr>
        <w:tc>
          <w:tcPr>
            <w:tcW w:type="dxa" w:w="922"/>
            <w:gridSpan w:val="2"/>
            <w:vMerge/>
          </w:tcPr>
          <w:p/>
        </w:tc>
        <w:tc>
          <w:tcPr>
            <w:tcW w:type="dxa" w:w="2307"/>
          </w:tcPr>
          <w:p>
            <w:pPr>
              <w:pStyle w:val="null3"/>
              <w:jc w:val="left"/>
            </w:pPr>
            <w:r>
              <w:rPr/>
              <w:t>临时性、阶段性工作及突发事件预案1 (3.0分)</w:t>
            </w:r>
          </w:p>
        </w:tc>
        <w:tc>
          <w:tcPr>
            <w:tcW w:type="dxa" w:w="5076"/>
          </w:tcPr>
          <w:p>
            <w:pPr>
              <w:pStyle w:val="null3"/>
              <w:jc w:val="left"/>
            </w:pPr>
            <w:r>
              <w:rPr/>
              <w:t>根据投标人提供的临时性、阶段性工作及突发事件预案进行评审，能提供①临时性、阶段性工作及突发事件预案，得1分，不提供不得分； ②服务方案能同时包括各类突发事件应急处置机制、临时性阶段性工作预案、重大敏感交通事故现场处置预案（协助采购人对重大敏感交通事故现场伤员、死者临时围蔽、转移）内容，以及三份以上不同事件应急处置方案案例的，得2分。</w:t>
            </w:r>
          </w:p>
        </w:tc>
      </w:tr>
      <w:tr>
        <w:tc>
          <w:tcPr>
            <w:tcW w:type="dxa" w:w="922"/>
            <w:gridSpan w:val="2"/>
            <w:vMerge/>
          </w:tcPr>
          <w:p/>
        </w:tc>
        <w:tc>
          <w:tcPr>
            <w:tcW w:type="dxa" w:w="2307"/>
          </w:tcPr>
          <w:p>
            <w:pPr>
              <w:pStyle w:val="null3"/>
              <w:jc w:val="left"/>
            </w:pPr>
            <w:r>
              <w:rPr/>
              <w:t>临时性、阶段性工作及突发事件预案2 (5.0分)</w:t>
            </w:r>
          </w:p>
        </w:tc>
        <w:tc>
          <w:tcPr>
            <w:tcW w:type="dxa" w:w="5076"/>
          </w:tcPr>
          <w:p>
            <w:pPr>
              <w:pStyle w:val="null3"/>
              <w:jc w:val="left"/>
            </w:pPr>
            <w:r>
              <w:rPr/>
              <w:t>根据“临时性、阶段性工作及突发事件预案1”所提供的内容进行评审： （1）预案描述严谨、完整合理、切实可行，满足且能优于采购需求的，得5分。 （2）预案描述完整合理、可行，完全满足采购需求的，得3分。 （3）预案描述完整、有一定的合理性和可行性，部分满足采购需求的，得1分。 （4）不能满足采购需求或其他情况的，不得分。</w:t>
            </w:r>
          </w:p>
        </w:tc>
      </w:tr>
      <w:tr>
        <w:tc>
          <w:tcPr>
            <w:tcW w:type="dxa" w:w="922"/>
            <w:gridSpan w:val="2"/>
            <w:vMerge/>
          </w:tcPr>
          <w:p/>
        </w:tc>
        <w:tc>
          <w:tcPr>
            <w:tcW w:type="dxa" w:w="2307"/>
          </w:tcPr>
          <w:p>
            <w:pPr>
              <w:pStyle w:val="null3"/>
              <w:jc w:val="left"/>
            </w:pPr>
            <w:r>
              <w:rPr/>
              <w:t>拟投入本项目设备设施情况 (14.0分)</w:t>
            </w:r>
          </w:p>
        </w:tc>
        <w:tc>
          <w:tcPr>
            <w:tcW w:type="dxa" w:w="5076"/>
          </w:tcPr>
          <w:p>
            <w:pPr>
              <w:pStyle w:val="null3"/>
              <w:jc w:val="left"/>
            </w:pPr>
            <w:r>
              <w:rPr/>
              <w:t>（1）车型和数量（8.0分）：投标人投入的车辆数量总数须满足不少于26辆，且其中各类型车辆数量应符合采购需求中的要求，即：50吨重型专项作业车（吊车）1辆、25吨重型专项作业车（吊车）1辆、25吨重型专项作业车（拖车或平板）1辆、10吨以上大中型专项作业车（拖车或平板）2辆、5吨以上中型专项作业车（拖车或平板）1辆、3吨中型专项作业车（拖车或平板）12辆、5吨以上大型货车8辆。每多提供1辆满足以上车型条件的，得1分，最高得8分。 注：①自有车辆提供和投标人单位名称相符,且在车检有效期内车辆的行驶证扫描件； ②租赁车辆提供租赁合同和对应车辆与出租人名称相符且在车检有效期内车辆的行驶证扫描件，并需承诺“在接到中标通知书之日起15天内，向采购人提交车辆租赁合同原件及在车检有效期内的车辆行驶证扫描件，租赁合同的租赁起始日期不得晚于本项目服务合同起始日期，租赁合同的租赁终止日期如早于本项目服务期结束日期，中标人需承诺将续约租赁合同或另行租赁符合要求车辆至本项目服务期结束”的书面承诺（加盖公章）。 （2）车辆状况响应程度（6.0分）（详见采购需求第二点“服务要求”的第（一）项“一般服务要求”的第2点“车辆状况要求”的（1）-（7）条款）： 满足全部7项条款要求的，得6分； 满足其中4-6项条款要求的，得5分； 满足其中2-3项条款要求的，得2分。 满足其中0-1项条款要求的，得0分。 注：需提供满足评审要求的书面承诺(加盖公章)。</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投标人每提供一个2021年1月1日（以合同签订日期为准）至今同类项目经验（含拖吊车服务）得1分，本项最高得6分。 注：提供合同关键页（含签订合同双方的单位名称、合同项目名称、含签订合同双方的落款盖章、签订日期的关键页）复印件，不按评审要求提供不得分。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投标人提供2021年1月1日至今同类项目经验的用户单位出具的满意度评价，评价情况至少须为“满意或类似好评”的方可计分：每提供一项得1分，最高6分。 注：①同一客户或同一项目提供多项用户满意度评价的，按一项计算；②须与2021年1月1日至今同类项目经验的用户单位一致；③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拟投入本项目服务团队情况 (13.0分)</w:t>
            </w:r>
          </w:p>
        </w:tc>
        <w:tc>
          <w:tcPr>
            <w:tcW w:type="dxa" w:w="5076"/>
          </w:tcPr>
          <w:p>
            <w:pPr>
              <w:pStyle w:val="null3"/>
              <w:jc w:val="left"/>
            </w:pPr>
            <w:r>
              <w:rPr/>
              <w:t>根据投标人拟投入本项目作业人员的数量，交通拖吊作业经验进行评审：所配备的作业人员数量须满足26人，26人均具备交通拖吊作业工作经验，得13分；所配备的作业人员数量满足26人，其中有20人至25人者具备交通拖吊作业工作经验，得10分；所配备的作业人员数量满足26人，其中有15人至19人具备交通拖吊作业工作的经验，得6分；所配备的作业人员数量不足26人或不足15人具备交通拖吊作业工作经验，得3分。 注：需提供：（1）上述人员具有交通拖吊作业经验的材料（投标人出具的拟投入的人员（须明确姓名）具有交通拖吊作业经验（须明确所属项目名称）的列表，加盖公章），否则无效；（2）上述人员身份证及投标人与上述人员签订的劳动合同或单位代缴个人所得税税单或社会保险参保证明，否则无效。</w:t>
            </w:r>
          </w:p>
        </w:tc>
      </w:tr>
      <w:tr>
        <w:tc>
          <w:tcPr>
            <w:tcW w:type="dxa" w:w="922"/>
            <w:gridSpan w:val="2"/>
            <w:vMerge/>
          </w:tcPr>
          <w:p/>
        </w:tc>
        <w:tc>
          <w:tcPr>
            <w:tcW w:type="dxa" w:w="2307"/>
          </w:tcPr>
          <w:p>
            <w:pPr>
              <w:pStyle w:val="null3"/>
              <w:jc w:val="left"/>
            </w:pPr>
            <w:r>
              <w:rPr/>
              <w:t>质量管理体系认证情况 (3.0分)</w:t>
            </w:r>
          </w:p>
        </w:tc>
        <w:tc>
          <w:tcPr>
            <w:tcW w:type="dxa" w:w="5076"/>
          </w:tcPr>
          <w:p>
            <w:pPr>
              <w:pStyle w:val="null3"/>
              <w:jc w:val="left"/>
            </w:pPr>
            <w:r>
              <w:rPr/>
              <w:t>投标人具有有效的质量管理体系认证，得3分。 注：提供认证证书复印件，并须同时提供在全国认证认可信息公共服务平台（www.cnca.cn）对体系证书的信息查询截图作为评审依据，已失效或撤销或暂停的不得分。新成立的公司因实施运行不满3个月无法办理认证证书的，可对应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 政处罚或经营异常的投标人每一条记录扣0.5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采购包2(证据保存车辆保管服务):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车场服务管理方案1 (6.0分)</w:t>
            </w:r>
          </w:p>
        </w:tc>
        <w:tc>
          <w:tcPr>
            <w:tcW w:type="dxa" w:w="5076"/>
          </w:tcPr>
          <w:p>
            <w:pPr>
              <w:pStyle w:val="null3"/>
              <w:jc w:val="left"/>
            </w:pPr>
            <w:r>
              <w:rPr/>
              <w:t>根据投标人提供的车场服务管理方案进行评审，能提供①服务方案(包括但不限于服务内容及目标、机构设立、服务模式及运作流程、管理计划、服务优势与亮点等)；②车场所需设备设施的配置方案（包括但不限于车场管理系统、消防设备、监控设备、搬运工具等）；③服务人员的配置及管理方案；④车辆档案管理方案等；每项得1.5分，最高6分。未提供或未按要求提供的不得分。</w:t>
            </w:r>
          </w:p>
        </w:tc>
      </w:tr>
      <w:tr>
        <w:tc>
          <w:tcPr>
            <w:tcW w:type="dxa" w:w="922"/>
            <w:gridSpan w:val="2"/>
            <w:vMerge/>
          </w:tcPr>
          <w:p/>
        </w:tc>
        <w:tc>
          <w:tcPr>
            <w:tcW w:type="dxa" w:w="2307"/>
          </w:tcPr>
          <w:p>
            <w:pPr>
              <w:pStyle w:val="null3"/>
              <w:jc w:val="left"/>
            </w:pPr>
            <w:r>
              <w:rPr/>
              <w:t>车场服务管理方案2 (10.0分)</w:t>
            </w:r>
          </w:p>
        </w:tc>
        <w:tc>
          <w:tcPr>
            <w:tcW w:type="dxa" w:w="5076"/>
          </w:tcPr>
          <w:p>
            <w:pPr>
              <w:pStyle w:val="null3"/>
              <w:jc w:val="left"/>
            </w:pPr>
            <w:r>
              <w:rPr/>
              <w:t>根据“车场服务管理方案1”所提供的方案内容进行评审： （1）服务方案详尽具体且有针对性,满足且能优于采购需求的，得10分。 （2）服务方案详尽、部分有针对性，完全满足采购需求的，得6分。 （3）服务方案具体，部分满足采购需求的，得2分。 （4）不能满足采购需求或其他情况的，不得分。</w:t>
            </w:r>
          </w:p>
        </w:tc>
      </w:tr>
      <w:tr>
        <w:tc>
          <w:tcPr>
            <w:tcW w:type="dxa" w:w="922"/>
            <w:gridSpan w:val="2"/>
            <w:vMerge/>
          </w:tcPr>
          <w:p/>
        </w:tc>
        <w:tc>
          <w:tcPr>
            <w:tcW w:type="dxa" w:w="2307"/>
          </w:tcPr>
          <w:p>
            <w:pPr>
              <w:pStyle w:val="null3"/>
              <w:jc w:val="left"/>
            </w:pPr>
            <w:r>
              <w:rPr/>
              <w:t>场地改造方案1 (2.0分)</w:t>
            </w:r>
          </w:p>
        </w:tc>
        <w:tc>
          <w:tcPr>
            <w:tcW w:type="dxa" w:w="5076"/>
          </w:tcPr>
          <w:p>
            <w:pPr>
              <w:pStyle w:val="null3"/>
              <w:jc w:val="left"/>
            </w:pPr>
            <w:r>
              <w:rPr/>
              <w:t>根据投标人提供的场地改造方案进行评审，能提供①设计图纸及工程量清单；②场地改造方案(包括但不限于施工组织设计、安全文明施工、完工期及实施计划等)；每项得1分，最高2分。未提供或未按要求提供的不得分。</w:t>
            </w:r>
          </w:p>
        </w:tc>
      </w:tr>
      <w:tr>
        <w:tc>
          <w:tcPr>
            <w:tcW w:type="dxa" w:w="922"/>
            <w:gridSpan w:val="2"/>
            <w:vMerge/>
          </w:tcPr>
          <w:p/>
        </w:tc>
        <w:tc>
          <w:tcPr>
            <w:tcW w:type="dxa" w:w="2307"/>
          </w:tcPr>
          <w:p>
            <w:pPr>
              <w:pStyle w:val="null3"/>
              <w:jc w:val="left"/>
            </w:pPr>
            <w:r>
              <w:rPr/>
              <w:t>场地改造方案2 (6.0分)</w:t>
            </w:r>
          </w:p>
        </w:tc>
        <w:tc>
          <w:tcPr>
            <w:tcW w:type="dxa" w:w="5076"/>
          </w:tcPr>
          <w:p>
            <w:pPr>
              <w:pStyle w:val="null3"/>
              <w:jc w:val="left"/>
            </w:pPr>
            <w:r>
              <w:rPr/>
              <w:t>根据“场地改造方案1”所提供的方案内容进行评审： （1）服务方案详尽具体且有针对性,满足且能优于采购需求的，得6分。 （2）服务方案详尽、部分有针对性，完全满足采购需求的，得4分。 （3）服务方案具体，部分满足采购需求的，得1分。 （4）不能满足采购需求或其他情况的，不得分。</w:t>
            </w:r>
          </w:p>
        </w:tc>
      </w:tr>
      <w:tr>
        <w:tc>
          <w:tcPr>
            <w:tcW w:type="dxa" w:w="922"/>
            <w:gridSpan w:val="2"/>
            <w:vMerge/>
          </w:tcPr>
          <w:p/>
        </w:tc>
        <w:tc>
          <w:tcPr>
            <w:tcW w:type="dxa" w:w="2307"/>
          </w:tcPr>
          <w:p>
            <w:pPr>
              <w:pStyle w:val="null3"/>
              <w:jc w:val="left"/>
            </w:pPr>
            <w:r>
              <w:rPr/>
              <w:t>车辆搬迁方案1 (2.0分)</w:t>
            </w:r>
          </w:p>
        </w:tc>
        <w:tc>
          <w:tcPr>
            <w:tcW w:type="dxa" w:w="5076"/>
          </w:tcPr>
          <w:p>
            <w:pPr>
              <w:pStyle w:val="null3"/>
              <w:jc w:val="left"/>
            </w:pPr>
            <w:r>
              <w:rPr/>
              <w:t>根据投标人提供的车辆搬迁方案进行评审，能提供①服务内容及目标；②车辆搬迁保障措施、完成时间及实施计划等；每项得1分，最高2分。未提供或未按要求提供的不得分。</w:t>
            </w:r>
          </w:p>
        </w:tc>
      </w:tr>
      <w:tr>
        <w:tc>
          <w:tcPr>
            <w:tcW w:type="dxa" w:w="922"/>
            <w:gridSpan w:val="2"/>
            <w:vMerge/>
          </w:tcPr>
          <w:p/>
        </w:tc>
        <w:tc>
          <w:tcPr>
            <w:tcW w:type="dxa" w:w="2307"/>
          </w:tcPr>
          <w:p>
            <w:pPr>
              <w:pStyle w:val="null3"/>
              <w:jc w:val="left"/>
            </w:pPr>
            <w:r>
              <w:rPr/>
              <w:t>车辆搬迁方案2 (5.0分)</w:t>
            </w:r>
          </w:p>
        </w:tc>
        <w:tc>
          <w:tcPr>
            <w:tcW w:type="dxa" w:w="5076"/>
          </w:tcPr>
          <w:p>
            <w:pPr>
              <w:pStyle w:val="null3"/>
              <w:jc w:val="left"/>
            </w:pPr>
            <w:r>
              <w:rPr/>
              <w:t>根据“车辆搬迁方案1”所提供的方案内容进行评审： （1）服务方案详尽具体且有针对性，满足且能优于采购需求的，得5分。 （2）服务方案详尽、部分有针对性，完全满足采购需求的，得3分。 （3）服务方案具体，部分满足采购需求的，得1分。 （4）不能满足采购需求或其他情况的，不得分。</w:t>
            </w:r>
          </w:p>
        </w:tc>
      </w:tr>
      <w:tr>
        <w:tc>
          <w:tcPr>
            <w:tcW w:type="dxa" w:w="922"/>
            <w:gridSpan w:val="2"/>
            <w:vMerge/>
          </w:tcPr>
          <w:p/>
        </w:tc>
        <w:tc>
          <w:tcPr>
            <w:tcW w:type="dxa" w:w="2307"/>
          </w:tcPr>
          <w:p>
            <w:pPr>
              <w:pStyle w:val="null3"/>
              <w:jc w:val="left"/>
            </w:pPr>
            <w:r>
              <w:rPr/>
              <w:t>安全及质量保证措施 1 (3.0分)</w:t>
            </w:r>
          </w:p>
        </w:tc>
        <w:tc>
          <w:tcPr>
            <w:tcW w:type="dxa" w:w="5076"/>
          </w:tcPr>
          <w:p>
            <w:pPr>
              <w:pStyle w:val="null3"/>
              <w:jc w:val="left"/>
            </w:pPr>
            <w:r>
              <w:rPr/>
              <w:t>根据投标人提供的安全及质量保证措施进行评审，能提供①安全生产责任制方案（包括但不限于安全目标、场内各种安全管理规定、拖吊作业安全作业规定等）；②质量保证措施（包括但不限于质量保障承诺、服务人员安全培训、消防安全设备设施的配置、信息化手段的使用、购买保险等）；每项得1.5分，最高3分。未提供或未按要求提供的不得分。</w:t>
            </w:r>
          </w:p>
        </w:tc>
      </w:tr>
      <w:tr>
        <w:tc>
          <w:tcPr>
            <w:tcW w:type="dxa" w:w="922"/>
            <w:gridSpan w:val="2"/>
            <w:vMerge/>
          </w:tcPr>
          <w:p/>
        </w:tc>
        <w:tc>
          <w:tcPr>
            <w:tcW w:type="dxa" w:w="2307"/>
          </w:tcPr>
          <w:p>
            <w:pPr>
              <w:pStyle w:val="null3"/>
              <w:jc w:val="left"/>
            </w:pPr>
            <w:r>
              <w:rPr/>
              <w:t>安全及质量保证措施2 (5.0分)</w:t>
            </w:r>
          </w:p>
        </w:tc>
        <w:tc>
          <w:tcPr>
            <w:tcW w:type="dxa" w:w="5076"/>
          </w:tcPr>
          <w:p>
            <w:pPr>
              <w:pStyle w:val="null3"/>
              <w:jc w:val="left"/>
            </w:pPr>
            <w:r>
              <w:rPr/>
              <w:t>根据“安全及质量保证措施1”所提供的保障措施内容进行评审： （1）措施描述严谨、完整合理、切实可行，质量保障承诺明确、可执行性高，满足且能优于采购需求的，得5分。 （2）措施描述完整合理、可行，质量保障承诺明确、具有可执行性，完全满足采购需求的，得3分。 （3）措施描述完整、有一定的合理性和可行性，质量保障承诺较为明确、有一定的可执行性，部分满足采购需求的，得1分。 （4）不能满足采购需求或其他情况的，不得分。</w:t>
            </w:r>
          </w:p>
        </w:tc>
      </w:tr>
      <w:tr>
        <w:tc>
          <w:tcPr>
            <w:tcW w:type="dxa" w:w="922"/>
            <w:gridSpan w:val="2"/>
            <w:vMerge/>
          </w:tcPr>
          <w:p/>
        </w:tc>
        <w:tc>
          <w:tcPr>
            <w:tcW w:type="dxa" w:w="2307"/>
          </w:tcPr>
          <w:p>
            <w:pPr>
              <w:pStyle w:val="null3"/>
              <w:jc w:val="left"/>
            </w:pPr>
            <w:r>
              <w:rPr/>
              <w:t>服务人员培训方案1 (3.0分)</w:t>
            </w:r>
          </w:p>
        </w:tc>
        <w:tc>
          <w:tcPr>
            <w:tcW w:type="dxa" w:w="5076"/>
          </w:tcPr>
          <w:p>
            <w:pPr>
              <w:pStyle w:val="null3"/>
              <w:jc w:val="left"/>
            </w:pPr>
            <w:r>
              <w:rPr/>
              <w:t>根据投标人提供的服务人员培训方案进行评审，能提供①能提供工作人员培训及管理考核方案的，得1分； ②培训计划包含安防、消防、礼仪、防盗、防诈骗、人流疏散相关的专业培训，得2分。未提供或未按要求提供的不得分。</w:t>
            </w:r>
          </w:p>
        </w:tc>
      </w:tr>
      <w:tr>
        <w:tc>
          <w:tcPr>
            <w:tcW w:type="dxa" w:w="922"/>
            <w:gridSpan w:val="2"/>
            <w:vMerge/>
          </w:tcPr>
          <w:p/>
        </w:tc>
        <w:tc>
          <w:tcPr>
            <w:tcW w:type="dxa" w:w="2307"/>
          </w:tcPr>
          <w:p>
            <w:pPr>
              <w:pStyle w:val="null3"/>
              <w:jc w:val="left"/>
            </w:pPr>
            <w:r>
              <w:rPr/>
              <w:t>服务人员培训方案2 (5.0分)</w:t>
            </w:r>
          </w:p>
        </w:tc>
        <w:tc>
          <w:tcPr>
            <w:tcW w:type="dxa" w:w="5076"/>
          </w:tcPr>
          <w:p>
            <w:pPr>
              <w:pStyle w:val="null3"/>
              <w:jc w:val="left"/>
            </w:pPr>
            <w:r>
              <w:rPr/>
              <w:t>根据“服务人员培训方案1”所提供的内容进行评审： （1）方案描述严谨、完整合理、切实可行，满足且能优于采购需求的，得5分。 （2）方案描述完整合理、可行，完全满足采购需求的，得3分。 （3）方案描述完整、有一定的合理性和可行性，部分满足采购需求的，得1分。 （4）不能满足采购需求或其他情况的，不得分。</w:t>
            </w:r>
          </w:p>
        </w:tc>
      </w:tr>
      <w:tr>
        <w:tc>
          <w:tcPr>
            <w:tcW w:type="dxa" w:w="922"/>
            <w:gridSpan w:val="2"/>
            <w:vMerge/>
          </w:tcPr>
          <w:p/>
        </w:tc>
        <w:tc>
          <w:tcPr>
            <w:tcW w:type="dxa" w:w="2307"/>
          </w:tcPr>
          <w:p>
            <w:pPr>
              <w:pStyle w:val="null3"/>
              <w:jc w:val="left"/>
            </w:pPr>
            <w:r>
              <w:rPr/>
              <w:t>临时性、阶段性工作及突发事件预案1 (3.0分)</w:t>
            </w:r>
          </w:p>
        </w:tc>
        <w:tc>
          <w:tcPr>
            <w:tcW w:type="dxa" w:w="5076"/>
          </w:tcPr>
          <w:p>
            <w:pPr>
              <w:pStyle w:val="null3"/>
              <w:jc w:val="left"/>
            </w:pPr>
            <w:r>
              <w:rPr/>
              <w:t>根据投标人提供的临时性、阶段性工作及突发事件预案进行评审，能提供①临时性、阶段性工作及突发事件预案，得1分，不提供不得分； ②服务方案能同时包括各类突发事件应急处置机制、临时性阶段性工作预案、火灾、水淹及盗窃处置预案内容，以及三份以上不同事件应急处置方案案例的，得2分。</w:t>
            </w:r>
          </w:p>
        </w:tc>
      </w:tr>
      <w:tr>
        <w:tc>
          <w:tcPr>
            <w:tcW w:type="dxa" w:w="922"/>
            <w:gridSpan w:val="2"/>
            <w:vMerge/>
          </w:tcPr>
          <w:p/>
        </w:tc>
        <w:tc>
          <w:tcPr>
            <w:tcW w:type="dxa" w:w="2307"/>
          </w:tcPr>
          <w:p>
            <w:pPr>
              <w:pStyle w:val="null3"/>
              <w:jc w:val="left"/>
            </w:pPr>
            <w:r>
              <w:rPr/>
              <w:t>临时性、阶段性工作及突发事件预案2 (5.0分)</w:t>
            </w:r>
          </w:p>
        </w:tc>
        <w:tc>
          <w:tcPr>
            <w:tcW w:type="dxa" w:w="5076"/>
          </w:tcPr>
          <w:p>
            <w:pPr>
              <w:pStyle w:val="null3"/>
              <w:jc w:val="left"/>
            </w:pPr>
            <w:r>
              <w:rPr/>
              <w:t>根据“临时性、阶段性工作及突发事件预案1”所提供的内容进行评审： （1）预案描述严谨、完整合理、切实可行，满足且能优于采购需求的，得5分。 （2）预案描述完整合理、可行，完全满足采购需求的，得3分。 （3）预案描述完整、有一定的合理性和可行性，部分满足采购需求的，得1分。 （4）不能满足采购需求或其他情况的，不得分。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投标人每提供一个2021年1月1日（以合同签订日期为准）至今同类项目经验（含车辆保管服务）得1分，本项最高得6分。 注：提供合同关键页（含签订合同双方的单位名称、合同项目名称、含签订合同双方的落款盖章、签订日期的关键页）复印件，不按评审要求提供不得分。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投标人提供2021年1月1日至今同类项目经验的用户单位出具的满意度评价，评价情况至少须为“满意或类似好评”的方可计分：每提供一项得1分，最高6分。 注：①同一客户或同一项目提供多项用户满意度评价的，按一项计算；②须与2021年1月1日至今同类项目经验的用户单位一致；③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履约保障 (7.0分)</w:t>
            </w:r>
          </w:p>
        </w:tc>
        <w:tc>
          <w:tcPr>
            <w:tcW w:type="dxa" w:w="5076"/>
          </w:tcPr>
          <w:p>
            <w:pPr>
              <w:pStyle w:val="null3"/>
              <w:jc w:val="left"/>
            </w:pPr>
            <w:r>
              <w:rPr/>
              <w:t>（1）提供在有效期内投标人为服务人员购买团体人身意外伤害保险的保险单，得3.5分；（2）提供在有效期内投标人为服务人员购买保安职业责任险的保险单，得3.5分。 注：须提供保险单扫描件或承诺签订合同后10天内购买相关保险的承诺函。</w:t>
            </w:r>
          </w:p>
        </w:tc>
      </w:tr>
      <w:tr>
        <w:tc>
          <w:tcPr>
            <w:tcW w:type="dxa" w:w="922"/>
            <w:gridSpan w:val="2"/>
            <w:vMerge/>
          </w:tcPr>
          <w:p/>
        </w:tc>
        <w:tc>
          <w:tcPr>
            <w:tcW w:type="dxa" w:w="2307"/>
          </w:tcPr>
          <w:p>
            <w:pPr>
              <w:pStyle w:val="null3"/>
              <w:jc w:val="left"/>
            </w:pPr>
            <w:r>
              <w:rPr/>
              <w:t>质量管理体系认证情况 (3.0分)</w:t>
            </w:r>
          </w:p>
        </w:tc>
        <w:tc>
          <w:tcPr>
            <w:tcW w:type="dxa" w:w="5076"/>
          </w:tcPr>
          <w:p>
            <w:pPr>
              <w:pStyle w:val="null3"/>
              <w:jc w:val="left"/>
            </w:pPr>
            <w:r>
              <w:rPr/>
              <w:t>投标人具有有效的质量管理体系认证，得3分。 注：提供认证证书复印件，并须同时提供在全国认证认可信息公共服务平台（www.cnca.cn）对体系证书的信息查询截图作为评审依据，已失效或撤销或暂停的不得分。新成立的公司因实施运行不满3个月无法办理认证证书的，可对应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 政处罚或经营异常的投标人每一条记录扣0.5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本项目投标报价得分为“场地改造费用投标报价得分”、“车辆搬迁费投标报价得分”、“证据保存车辆保管服务费投标报价得分”之和。场地改造费用投标报价得分＝（评标基准价/场地改造费用投标报价）×价格分值×12%（四舍五入，精确到0.01），车辆搬迁费投标报价得分＝（评标基准价/车辆搬迁费投标报价）×价格分值×18%（四舍五入，精确到0.01），证据保存车辆保管服务费投标报价得分＝（评标基准价/证据保存车辆保管服务费投标报价）×价格分值×70%（四舍五入，精确到0.01）。【注：满足招标文件要求且投标报价最低的投标报价为评审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注：以下合同仅供参考，具体内容以双方按照招标文件、投标文件及相关法律政策规定所签订的合同为准。若此合同与《采购需求》中有不一致的，则以采购需求的为准.</w:t>
      </w:r>
    </w:p>
    <w:p>
      <w:pPr>
        <w:pStyle w:val="null3"/>
        <w:ind w:firstLine="420"/>
        <w:jc w:val="center"/>
      </w:pPr>
      <w:r>
        <w:rPr>
          <w:sz w:val="24"/>
          <w:b/>
        </w:rPr>
        <w:t>合同编号：</w:t>
      </w:r>
    </w:p>
    <w:p>
      <w:pPr>
        <w:pStyle w:val="null3"/>
        <w:ind w:firstLine="422"/>
        <w:jc w:val="right"/>
      </w:pPr>
      <w:r>
        <w:rPr/>
        <w:t xml:space="preserve"> </w:t>
      </w:r>
    </w:p>
    <w:p>
      <w:pPr>
        <w:pStyle w:val="null3"/>
        <w:ind w:firstLine="422"/>
        <w:jc w:val="right"/>
      </w:pPr>
      <w:r>
        <w:rPr/>
        <w:t xml:space="preserve"> </w:t>
      </w:r>
    </w:p>
    <w:p>
      <w:pPr>
        <w:pStyle w:val="null3"/>
        <w:ind w:firstLine="422"/>
        <w:jc w:val="right"/>
      </w:pPr>
      <w:r>
        <w:rPr/>
        <w:t xml:space="preserve"> </w:t>
      </w:r>
    </w:p>
    <w:p>
      <w:pPr>
        <w:pStyle w:val="null3"/>
        <w:ind w:firstLine="422"/>
        <w:jc w:val="right"/>
      </w:pPr>
      <w:r>
        <w:rPr/>
        <w:t xml:space="preserve"> </w:t>
      </w:r>
    </w:p>
    <w:p>
      <w:pPr>
        <w:pStyle w:val="null3"/>
        <w:ind w:firstLine="422"/>
        <w:jc w:val="right"/>
      </w:pPr>
      <w:r>
        <w:rPr/>
        <w:t xml:space="preserve"> </w:t>
      </w:r>
    </w:p>
    <w:p>
      <w:pPr>
        <w:pStyle w:val="null3"/>
        <w:ind w:firstLine="420"/>
        <w:jc w:val="center"/>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880"/>
        <w:jc w:val="center"/>
      </w:pPr>
      <w:r>
        <w:rPr>
          <w:sz w:val="27"/>
        </w:rPr>
        <w:t>采购计划编号：</w:t>
      </w:r>
    </w:p>
    <w:p>
      <w:pPr>
        <w:pStyle w:val="null3"/>
        <w:ind w:firstLine="480"/>
      </w:pPr>
      <w:r>
        <w:rPr/>
        <w:t xml:space="preserve"> </w:t>
      </w:r>
    </w:p>
    <w:p>
      <w:pPr>
        <w:pStyle w:val="null3"/>
        <w:ind w:firstLine="480"/>
        <w:jc w:val="both"/>
      </w:pPr>
      <w:r>
        <w:rPr>
          <w:sz w:val="27"/>
        </w:rPr>
        <w:t>项目编号：GZCQC2500FG02025</w:t>
      </w:r>
    </w:p>
    <w:p>
      <w:pPr>
        <w:pStyle w:val="null3"/>
        <w:ind w:firstLine="480"/>
        <w:jc w:val="both"/>
      </w:pPr>
      <w:r>
        <w:rPr/>
        <w:t xml:space="preserve"> </w:t>
      </w:r>
    </w:p>
    <w:p>
      <w:pPr>
        <w:pStyle w:val="null3"/>
        <w:ind w:firstLine="480"/>
        <w:jc w:val="both"/>
      </w:pPr>
      <w:r>
        <w:rPr>
          <w:sz w:val="27"/>
        </w:rPr>
        <w:t>项目名称：</w:t>
      </w:r>
      <w:r>
        <w:rPr>
          <w:sz w:val="27"/>
          <w:u w:val="single"/>
        </w:rPr>
        <w:t>2025年-2027年广州市公安局增城区分局交通违法和事故车辆拖吊保管服务项目</w:t>
      </w:r>
    </w:p>
    <w:p>
      <w:pPr>
        <w:pStyle w:val="null3"/>
        <w:ind w:firstLine="480"/>
        <w:jc w:val="both"/>
      </w:pPr>
      <w:r>
        <w:rPr/>
        <w:t xml:space="preserve"> </w:t>
      </w:r>
    </w:p>
    <w:p>
      <w:pPr>
        <w:pStyle w:val="null3"/>
        <w:ind w:firstLine="480"/>
        <w:jc w:val="both"/>
      </w:pPr>
      <w:r>
        <w:rPr>
          <w:sz w:val="27"/>
        </w:rPr>
        <w:t>采购包1：拖吊车及交通清障服务</w:t>
      </w:r>
    </w:p>
    <w:p>
      <w:pPr>
        <w:pStyle w:val="null3"/>
        <w:ind w:firstLine="480"/>
        <w:jc w:val="both"/>
      </w:pPr>
      <w:r>
        <w:rPr/>
        <w:t xml:space="preserve"> </w:t>
      </w:r>
    </w:p>
    <w:p>
      <w:pPr>
        <w:pStyle w:val="null3"/>
        <w:ind w:firstLine="420"/>
        <w:jc w:val="both"/>
      </w:pPr>
      <w:r>
        <w:rPr>
          <w:sz w:val="24"/>
          <w:b/>
        </w:rPr>
        <w:t>2025年  月</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20"/>
        <w:jc w:val="both"/>
      </w:pPr>
      <w:r>
        <w:rPr>
          <w:sz w:val="24"/>
          <w:b/>
        </w:rPr>
        <w:t>甲方（采购人）：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2"/>
        <w:jc w:val="both"/>
      </w:pPr>
      <w:r>
        <w:rPr>
          <w:sz w:val="24"/>
          <w:b/>
        </w:rPr>
        <w:t>乙方（中标人）：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0"/>
        <w:jc w:val="both"/>
      </w:pPr>
      <w:r>
        <w:rPr>
          <w:sz w:val="24"/>
        </w:rPr>
        <w:t>根据《中华人民共和国民法典》、《中华人民共和国政府采购法》及2025年-2027年广州市公安局增城区分局交通违法和事故车辆拖吊保管服务项目采购文件（采购编号：GZCQC2500FG02025）采购包1：拖吊车及交通清障服务的招标要求和乙方投标承诺，双方就甲方采购事项协商一致，订立本合同。</w:t>
      </w:r>
    </w:p>
    <w:p>
      <w:pPr>
        <w:pStyle w:val="null3"/>
        <w:ind w:firstLine="422"/>
        <w:jc w:val="both"/>
      </w:pPr>
      <w:r>
        <w:rPr>
          <w:sz w:val="24"/>
          <w:b/>
        </w:rPr>
        <w:t>一、服务内容</w:t>
      </w:r>
    </w:p>
    <w:p>
      <w:pPr>
        <w:pStyle w:val="null3"/>
        <w:ind w:firstLine="420"/>
        <w:jc w:val="both"/>
      </w:pPr>
      <w:r>
        <w:rPr>
          <w:sz w:val="24"/>
        </w:rPr>
        <w:t>确定乙方为甲方提供拖吊车及交通清障服务。该服务是指广州市公安局增城区分局交警大队（暨广州市公安局交通警察支队增城大队，下称“增城交警大队”）管辖道路范围内的各类拖吊车及交通清障服务，包括：交通违法车辆、事故车辆的拖吊，交通高峰时段、警保卫或重大活动期间、交通整治、突发事件处置的备勤，道路上妨碍交通的车辆或障碍物的清理，车辆因证据保存转换停车场（以下简称“转场”）以及其他涉及交通管理工作需要（以下简称“拖吊作业”）。</w:t>
      </w:r>
    </w:p>
    <w:p>
      <w:pPr>
        <w:pStyle w:val="null3"/>
        <w:ind w:firstLine="422"/>
        <w:jc w:val="both"/>
      </w:pPr>
      <w:r>
        <w:rPr>
          <w:sz w:val="24"/>
          <w:b/>
        </w:rPr>
        <w:t>二、服务范围</w:t>
      </w:r>
    </w:p>
    <w:p>
      <w:pPr>
        <w:pStyle w:val="null3"/>
        <w:ind w:firstLine="420"/>
        <w:jc w:val="both"/>
      </w:pPr>
      <w:r>
        <w:rPr>
          <w:sz w:val="24"/>
        </w:rPr>
        <w:t>本项目服务范围为增城交警大队下属11个中队，各中队划分如下：</w:t>
      </w:r>
    </w:p>
    <w:tbl>
      <w:tblPr>
        <w:tblW w:w="0" w:type="auto"/>
        <w:tblBorders>
          <w:top w:val="none" w:color="000000" w:sz="4"/>
          <w:left w:val="none" w:color="000000" w:sz="4"/>
          <w:bottom w:val="none" w:color="000000" w:sz="4"/>
          <w:right w:val="none" w:color="000000" w:sz="4"/>
          <w:insideH w:val="none"/>
          <w:insideV w:val="none"/>
        </w:tblBorders>
      </w:tblPr>
      <w:tblGrid>
        <w:gridCol w:w="1429"/>
        <w:gridCol w:w="2949"/>
        <w:gridCol w:w="3927"/>
      </w:tblGrid>
      <w:tr>
        <w:tc>
          <w:tcPr>
            <w:tcW w:type="dxa" w:w="142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区域</w:t>
            </w:r>
          </w:p>
        </w:tc>
        <w:tc>
          <w:tcPr>
            <w:tcW w:type="dxa" w:w="2949"/>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服务中队</w:t>
            </w:r>
          </w:p>
        </w:tc>
        <w:tc>
          <w:tcPr>
            <w:tcW w:type="dxa" w:w="3927"/>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备注</w:t>
            </w:r>
          </w:p>
        </w:tc>
      </w:tr>
      <w:tr>
        <w:tc>
          <w:tcPr>
            <w:tcW w:type="dxa" w:w="1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增城区</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交警一中队</w:t>
            </w:r>
          </w:p>
        </w:tc>
        <w:tc>
          <w:tcPr>
            <w:tcW w:type="dxa" w:w="3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w:t>
            </w:r>
            <w:r>
              <w:rPr>
                <w:sz w:val="24"/>
              </w:rPr>
              <w:t>、乙方必须同时服务增城区内</w:t>
            </w:r>
            <w:r>
              <w:rPr>
                <w:sz w:val="24"/>
              </w:rPr>
              <w:t>11</w:t>
            </w:r>
            <w:r>
              <w:rPr>
                <w:sz w:val="24"/>
              </w:rPr>
              <w:t>个中队。</w:t>
            </w:r>
          </w:p>
          <w:p>
            <w:pPr>
              <w:pStyle w:val="null3"/>
              <w:jc w:val="left"/>
            </w:pPr>
            <w:r>
              <w:rPr>
                <w:sz w:val="24"/>
              </w:rPr>
              <w:t>2</w:t>
            </w:r>
            <w:r>
              <w:rPr>
                <w:sz w:val="24"/>
              </w:rPr>
              <w:t>、各中队服务范围以各中队辖区为准，中队辖区出现调整的，服务范围以调整后的新辖区为准，如出现其变化则由甲方确定服务范围。</w:t>
            </w:r>
          </w:p>
          <w:p>
            <w:pPr>
              <w:pStyle w:val="null3"/>
              <w:jc w:val="left"/>
            </w:pPr>
            <w:r>
              <w:rPr>
                <w:sz w:val="24"/>
              </w:rPr>
              <w:t>3</w:t>
            </w:r>
            <w:r>
              <w:rPr>
                <w:sz w:val="24"/>
              </w:rPr>
              <w:t>、国家法律法规或上级管理部门有新规定的从其规定。</w:t>
            </w: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交警二中队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交警三中队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交警四中队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交警五中队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交警六中队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交警七中队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交警八中队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交警九中队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事故中队</w:t>
            </w:r>
          </w:p>
        </w:tc>
        <w:tc>
          <w:tcPr>
            <w:tcW w:type="dxa" w:w="3927"/>
            <w:vMerge/>
            <w:tcBorders>
              <w:top w:val="none" w:color="000000" w:sz="4"/>
              <w:left w:val="none" w:color="000000" w:sz="4"/>
              <w:bottom w:val="single" w:color="000000" w:sz="4"/>
              <w:right w:val="single" w:color="000000" w:sz="4"/>
            </w:tcBorders>
          </w:tcPr>
          <w:p/>
        </w:tc>
      </w:tr>
      <w:tr>
        <w:tc>
          <w:tcPr>
            <w:tcW w:type="dxa" w:w="1429"/>
            <w:vMerge/>
            <w:tcBorders>
              <w:top w:val="none" w:color="000000" w:sz="4"/>
              <w:left w:val="singl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侦查中队（分控中心）</w:t>
            </w:r>
          </w:p>
        </w:tc>
        <w:tc>
          <w:tcPr>
            <w:tcW w:type="dxa" w:w="3927"/>
            <w:vMerge/>
            <w:tcBorders>
              <w:top w:val="none" w:color="000000" w:sz="4"/>
              <w:left w:val="none" w:color="000000" w:sz="4"/>
              <w:bottom w:val="single" w:color="000000" w:sz="4"/>
              <w:right w:val="single" w:color="000000" w:sz="4"/>
            </w:tcBorders>
          </w:tcPr>
          <w:p/>
        </w:tc>
      </w:tr>
    </w:tbl>
    <w:p>
      <w:pPr>
        <w:pStyle w:val="null3"/>
        <w:ind w:firstLine="422"/>
        <w:jc w:val="both"/>
      </w:pPr>
      <w:r>
        <w:rPr>
          <w:sz w:val="24"/>
          <w:b/>
        </w:rPr>
        <w:t>三、服务要求</w:t>
      </w:r>
    </w:p>
    <w:p>
      <w:pPr>
        <w:pStyle w:val="null3"/>
        <w:ind w:firstLine="420"/>
        <w:jc w:val="both"/>
      </w:pPr>
      <w:r>
        <w:rPr>
          <w:sz w:val="24"/>
        </w:rPr>
        <w:t>（一）一般服务要求</w:t>
      </w:r>
    </w:p>
    <w:p>
      <w:pPr>
        <w:pStyle w:val="null3"/>
        <w:ind w:firstLine="420"/>
        <w:jc w:val="both"/>
      </w:pPr>
      <w:r>
        <w:rPr>
          <w:sz w:val="24"/>
        </w:rPr>
        <w:t>1.拖吊车辆数量要求</w:t>
      </w:r>
    </w:p>
    <w:p>
      <w:pPr>
        <w:pStyle w:val="null3"/>
        <w:ind w:firstLine="420"/>
        <w:jc w:val="both"/>
      </w:pPr>
      <w:r>
        <w:rPr>
          <w:sz w:val="24"/>
        </w:rPr>
        <w:t>（1）拖吊车辆总数为不少于26辆，具体车型和数量要求如下：</w:t>
      </w:r>
    </w:p>
    <w:p>
      <w:pPr>
        <w:pStyle w:val="null3"/>
        <w:ind w:firstLine="420"/>
        <w:jc w:val="both"/>
      </w:pPr>
      <w:r>
        <w:rPr>
          <w:sz w:val="24"/>
        </w:rPr>
        <w:t>1）1辆，50吨重型专项作业车（吊车）；</w:t>
      </w:r>
    </w:p>
    <w:p>
      <w:pPr>
        <w:pStyle w:val="null3"/>
        <w:ind w:firstLine="420"/>
        <w:jc w:val="both"/>
      </w:pPr>
      <w:r>
        <w:rPr>
          <w:sz w:val="24"/>
        </w:rPr>
        <w:t>2）1辆，</w:t>
      </w:r>
      <w:r>
        <w:rPr>
          <w:sz w:val="24"/>
          <w:color w:val="000000"/>
        </w:rPr>
        <w:t>25</w:t>
      </w:r>
      <w:r>
        <w:rPr>
          <w:sz w:val="24"/>
          <w:color w:val="000000"/>
        </w:rPr>
        <w:t>吨重型专项作业车（吊车）；</w:t>
      </w:r>
    </w:p>
    <w:p>
      <w:pPr>
        <w:pStyle w:val="null3"/>
        <w:ind w:firstLine="420"/>
        <w:jc w:val="both"/>
      </w:pPr>
      <w:r>
        <w:rPr>
          <w:sz w:val="24"/>
          <w:color w:val="000000"/>
        </w:rPr>
        <w:t>3</w:t>
      </w:r>
      <w:r>
        <w:rPr>
          <w:sz w:val="24"/>
          <w:color w:val="000000"/>
        </w:rPr>
        <w:t>）1辆，25吨重型专项作业车（拖车或平板）；</w:t>
      </w:r>
    </w:p>
    <w:p>
      <w:pPr>
        <w:pStyle w:val="null3"/>
        <w:ind w:firstLine="420"/>
        <w:jc w:val="both"/>
      </w:pPr>
      <w:r>
        <w:rPr>
          <w:sz w:val="24"/>
          <w:color w:val="000000"/>
        </w:rPr>
        <w:t>4</w:t>
      </w:r>
      <w:r>
        <w:rPr>
          <w:sz w:val="24"/>
          <w:color w:val="000000"/>
        </w:rPr>
        <w:t>）2辆，10吨以上大中型专项作业车（拖车或平板）；</w:t>
      </w:r>
    </w:p>
    <w:p>
      <w:pPr>
        <w:pStyle w:val="null3"/>
        <w:ind w:firstLine="420"/>
        <w:jc w:val="both"/>
      </w:pPr>
      <w:r>
        <w:rPr>
          <w:sz w:val="24"/>
          <w:color w:val="000000"/>
        </w:rPr>
        <w:t>5</w:t>
      </w:r>
      <w:r>
        <w:rPr>
          <w:sz w:val="24"/>
          <w:color w:val="000000"/>
        </w:rPr>
        <w:t>）1辆，5吨以上中型专项作业车（拖车或平板）；</w:t>
      </w:r>
    </w:p>
    <w:p>
      <w:pPr>
        <w:pStyle w:val="null3"/>
        <w:ind w:firstLine="420"/>
        <w:jc w:val="both"/>
      </w:pPr>
      <w:r>
        <w:rPr>
          <w:sz w:val="24"/>
          <w:color w:val="000000"/>
        </w:rPr>
        <w:t>6</w:t>
      </w:r>
      <w:r>
        <w:rPr>
          <w:sz w:val="24"/>
          <w:color w:val="000000"/>
        </w:rPr>
        <w:t>）12辆，3吨中型专项作业车（拖车或平板）；</w:t>
      </w:r>
    </w:p>
    <w:p>
      <w:pPr>
        <w:pStyle w:val="null3"/>
        <w:ind w:firstLine="420"/>
        <w:jc w:val="both"/>
      </w:pPr>
      <w:r>
        <w:rPr>
          <w:sz w:val="24"/>
        </w:rPr>
        <w:t>7）8辆，</w:t>
      </w:r>
      <w:r>
        <w:rPr>
          <w:sz w:val="24"/>
          <w:color w:val="000000"/>
        </w:rPr>
        <w:t>5</w:t>
      </w:r>
      <w:r>
        <w:rPr>
          <w:sz w:val="24"/>
          <w:color w:val="000000"/>
        </w:rPr>
        <w:t>吨以上大型货车。</w:t>
      </w:r>
    </w:p>
    <w:p>
      <w:pPr>
        <w:pStyle w:val="null3"/>
        <w:ind w:firstLine="420"/>
        <w:jc w:val="both"/>
      </w:pPr>
      <w:r>
        <w:rPr>
          <w:sz w:val="24"/>
        </w:rPr>
        <w:t>注：（1）5吨以上大型货车主要用来运送暂扣的电动车、摩托车、残疾人车等。</w:t>
      </w:r>
    </w:p>
    <w:p>
      <w:pPr>
        <w:pStyle w:val="null3"/>
        <w:ind w:firstLine="420"/>
        <w:jc w:val="both"/>
      </w:pPr>
      <w:r>
        <w:rPr>
          <w:sz w:val="24"/>
        </w:rPr>
        <w:t>（2）乙方必须承诺按服务中队及中队需投入的数量要求提供足够的车辆（车辆允许租赁），以满足甲方的拖吊服务要求。自有车辆不能满足该中队要求投入的数量、需租赁的，乙方须承诺于发出中标通知书之日起15天内，向甲方提交拖吊车服务合同生效起期限为2年的车辆租赁合同原件及车辆行驶证复印件；服务期内，因车辆报废、更新等原因，经甲方批准（需书面报备），可以更换车辆（吨位不得小于原车辆）。</w:t>
      </w:r>
    </w:p>
    <w:p>
      <w:pPr>
        <w:pStyle w:val="null3"/>
        <w:ind w:firstLine="420"/>
        <w:jc w:val="both"/>
      </w:pPr>
      <w:r>
        <w:rPr>
          <w:sz w:val="24"/>
        </w:rPr>
        <w:t>（3）侦查中队（分控中心）负责统筹协调各中队的拖吊车辆指挥调度工作。具体的拖吊车辆车型和数量以实际工作需要为准，侦查中队（分控中心）有权根据各中队实际需要调整</w:t>
      </w:r>
      <w:r>
        <w:rPr>
          <w:sz w:val="24"/>
          <w:color w:val="000000"/>
        </w:rPr>
        <w:t>车型和</w:t>
      </w:r>
      <w:r>
        <w:rPr>
          <w:sz w:val="24"/>
        </w:rPr>
        <w:t>数量的配置，乙方须配合完成。</w:t>
      </w:r>
    </w:p>
    <w:p>
      <w:pPr>
        <w:pStyle w:val="null3"/>
        <w:ind w:firstLine="420"/>
        <w:jc w:val="both"/>
      </w:pPr>
      <w:r>
        <w:rPr>
          <w:sz w:val="24"/>
        </w:rPr>
        <w:t>2.车辆状况要求</w:t>
      </w:r>
    </w:p>
    <w:p>
      <w:pPr>
        <w:pStyle w:val="null3"/>
        <w:ind w:firstLine="420"/>
        <w:jc w:val="both"/>
      </w:pPr>
      <w:r>
        <w:rPr>
          <w:sz w:val="24"/>
        </w:rPr>
        <w:t>（1）乙方提供的车辆必须具有合法、完备的证照，车辆应在年审有效期内，且车辆技术性能符合国家相关规定，不得提供报废、非法车辆参与拖吊作业，保证车况良好并配备足够、完好的交通清障辅助设备（包括枕木、消防器材、扫把、簸箕、木屑、铁铲、拖车绳、裹尸布（袋）、扳手、简易担架、毛毯、车罩、警示筒、警示带等反光标志、拖车辅助轮、千斤顶等）及通讯工具。另大中型专项作业车（含）以上车型还需增配：过风喉、消防器材、破拆工具等设备，以确保拖吊能力与通信畅通。</w:t>
      </w:r>
    </w:p>
    <w:p>
      <w:pPr>
        <w:pStyle w:val="null3"/>
        <w:ind w:firstLine="420"/>
        <w:jc w:val="both"/>
      </w:pPr>
      <w:r>
        <w:rPr>
          <w:sz w:val="24"/>
        </w:rPr>
        <w:t>（2）乙方提供的车辆必须购买相应的保险，除交强险外，还应购买保险理赔金额不少于300万的第三者责任险，且保险理赔时限在本项目服务期限内持续有效。</w:t>
      </w:r>
    </w:p>
    <w:p>
      <w:pPr>
        <w:pStyle w:val="null3"/>
        <w:ind w:firstLine="420"/>
        <w:jc w:val="both"/>
      </w:pPr>
      <w:r>
        <w:rPr>
          <w:sz w:val="24"/>
        </w:rPr>
        <w:t>（3）乙方提供的拯救车辆必须安装符合接入甲方相关管理系统要求的全球卫星定位系统终端设备（相关费用由乙方自行承担，乙方在合同服务期内需委托技术人员进行日常维护，并于项目实施前提供相应维护合同或协议），同时确保设备正常使用，还需为采购方免费提供接入端口，方便甲方实时对拖吊车辆开展监管工作。车辆定位数据须提供给甲方，并至少保存至合同服务期结束后六个月。</w:t>
      </w:r>
    </w:p>
    <w:p>
      <w:pPr>
        <w:pStyle w:val="null3"/>
        <w:ind w:firstLine="420"/>
        <w:jc w:val="both"/>
      </w:pPr>
      <w:r>
        <w:rPr>
          <w:sz w:val="24"/>
        </w:rPr>
        <w:t>（4）乙方提供的车辆必须安装行车记录仪，行车记录仪必须配备三个摄像头，满足日间、夜晚的记录要求，能清晰摄录从甲方将暂扣车辆移交给乙方起至乙方将暂扣车辆拖移至甲方指定停车场并移交完毕的整个过程，具体安装要求由甲方指定，摄录数据至少保存至合同服务期结束后六个月。</w:t>
      </w:r>
    </w:p>
    <w:p>
      <w:pPr>
        <w:pStyle w:val="null3"/>
        <w:ind w:firstLine="420"/>
        <w:jc w:val="both"/>
      </w:pPr>
      <w:r>
        <w:rPr>
          <w:sz w:val="24"/>
        </w:rPr>
        <w:t>（5）乙方提供的车辆必须统一车身颜色、喷涂乙方单位名称及投诉电话（如车辆属租赁的，乙方应在车辆明显位置标示出乙方单位名称及投诉电话）。</w:t>
      </w:r>
    </w:p>
    <w:p>
      <w:pPr>
        <w:pStyle w:val="null3"/>
        <w:ind w:firstLine="420"/>
        <w:jc w:val="both"/>
      </w:pPr>
      <w:r>
        <w:rPr>
          <w:sz w:val="24"/>
        </w:rPr>
        <w:t>（6）服务期内，乙方投入的车辆必须在有效期内，对提供服务的车辆进行维修保养、年检等，在原服务车辆不能按时到场服务的情况下，乙方须提供同车型、同吨位的备用车辆（具有合格、完备证照）替代服务，并事前征得甲方同意。</w:t>
      </w:r>
    </w:p>
    <w:p>
      <w:pPr>
        <w:pStyle w:val="null3"/>
        <w:ind w:firstLine="420"/>
        <w:jc w:val="both"/>
      </w:pPr>
      <w:r>
        <w:rPr>
          <w:sz w:val="24"/>
        </w:rPr>
        <w:t>（7）乙方提供的车辆，应具备拖吊大型客车、重型货车、新能源车（含电动公交车等特种车辆）等车辆的能力，到达现场拖吊作业的车辆必须能够承担并完成甲方指定的拖吊任务。</w:t>
      </w:r>
    </w:p>
    <w:p>
      <w:pPr>
        <w:pStyle w:val="null3"/>
        <w:ind w:firstLine="420"/>
        <w:jc w:val="both"/>
      </w:pPr>
      <w:r>
        <w:rPr>
          <w:sz w:val="24"/>
        </w:rPr>
        <w:t>3.作业人员要求</w:t>
      </w:r>
    </w:p>
    <w:p>
      <w:pPr>
        <w:pStyle w:val="null3"/>
        <w:ind w:firstLine="420"/>
        <w:jc w:val="both"/>
      </w:pPr>
      <w:r>
        <w:rPr>
          <w:sz w:val="24"/>
        </w:rPr>
        <w:t>（1）乙方作业人员须持交通运输部门核发的中华人民共和国道路运输从业人员资格证或者具备交通拖吊作业工作经验，司机必须具有对应驾驶车辆所需的驾驶证。</w:t>
      </w:r>
    </w:p>
    <w:p>
      <w:pPr>
        <w:pStyle w:val="null3"/>
        <w:ind w:firstLine="420"/>
        <w:jc w:val="both"/>
      </w:pPr>
      <w:r>
        <w:rPr>
          <w:sz w:val="24"/>
        </w:rPr>
        <w:t>（2）乙方应加强作业人员交通拖吊操作技能的培训。</w:t>
      </w:r>
    </w:p>
    <w:p>
      <w:pPr>
        <w:pStyle w:val="null3"/>
        <w:ind w:firstLine="420"/>
        <w:jc w:val="both"/>
      </w:pPr>
      <w:r>
        <w:rPr>
          <w:sz w:val="24"/>
        </w:rPr>
        <w:t>（3）乙方应加强对作业人员的普法教育、保密教育，应与每一个作业人员签订保密协议。</w:t>
      </w:r>
    </w:p>
    <w:p>
      <w:pPr>
        <w:pStyle w:val="null3"/>
        <w:ind w:firstLine="420"/>
        <w:jc w:val="both"/>
      </w:pPr>
      <w:r>
        <w:rPr>
          <w:sz w:val="24"/>
        </w:rPr>
        <w:t>（4）实施拖吊作业的每辆车，应按甲方要求配备足够数量的熟悉业务的作业人员（如参与交通整治等特殊情况时，乙方须根据甲方的要求，每台作业车辆配备1名或以上随车人员，乙方应予以满足，甲方不额外支付费用。），统一着装，按规范流程操作，听从交警的指挥。</w:t>
      </w:r>
    </w:p>
    <w:p>
      <w:pPr>
        <w:pStyle w:val="null3"/>
        <w:ind w:firstLine="420"/>
        <w:jc w:val="both"/>
      </w:pPr>
      <w:r>
        <w:rPr>
          <w:sz w:val="24"/>
        </w:rPr>
        <w:t>（5）作业人员应报甲方备案（含作业人员的身份证、资格证等资料复印件），乙方不得派出有违法犯罪记录或被甲方认定不允许进入本项目的人员。</w:t>
      </w:r>
    </w:p>
    <w:p>
      <w:pPr>
        <w:pStyle w:val="null3"/>
        <w:ind w:firstLine="420"/>
        <w:jc w:val="both"/>
      </w:pPr>
      <w:r>
        <w:rPr>
          <w:sz w:val="24"/>
        </w:rPr>
        <w:t>（6）所配备的作业人员（含司机）数量须满足不少于26人，</w:t>
      </w:r>
      <w:r>
        <w:rPr>
          <w:sz w:val="24"/>
          <w:color w:val="000000"/>
        </w:rPr>
        <w:t>乙方需配备足够的作业人员（含司机）确保按时按量完成甲方下达的拖吊作业任务</w:t>
      </w:r>
      <w:r>
        <w:rPr>
          <w:sz w:val="24"/>
        </w:rPr>
        <w:t>。</w:t>
      </w:r>
    </w:p>
    <w:p>
      <w:pPr>
        <w:pStyle w:val="null3"/>
        <w:ind w:firstLine="420"/>
        <w:jc w:val="both"/>
      </w:pPr>
      <w:r>
        <w:rPr>
          <w:sz w:val="24"/>
        </w:rPr>
        <w:t>（7）乙方必须为拖吊车作业人员购买意外保险，并提供保险单复复印件。如作业人员因操作不当，</w:t>
      </w:r>
      <w:r>
        <w:rPr>
          <w:sz w:val="24"/>
          <w:color w:val="000000"/>
        </w:rPr>
        <w:t>防护</w:t>
      </w:r>
      <w:r>
        <w:rPr>
          <w:sz w:val="24"/>
        </w:rPr>
        <w:t>不到位，造成伤亡由中标人负责。</w:t>
      </w:r>
    </w:p>
    <w:p>
      <w:pPr>
        <w:pStyle w:val="null3"/>
        <w:ind w:firstLine="420"/>
        <w:jc w:val="both"/>
      </w:pPr>
      <w:r>
        <w:rPr>
          <w:sz w:val="24"/>
        </w:rPr>
        <w:t>（8）乙方在岗履行工作职责期间，发生自身的人身伤害、疾病、伤亡及在服务中违反国家相关法律法规或行业规范，因过失造成他人人身伤亡和财产损失的，均由乙方负责处理并承担经济和道义上的责任，甲方不承担任何责任。</w:t>
      </w:r>
    </w:p>
    <w:p>
      <w:pPr>
        <w:pStyle w:val="null3"/>
        <w:ind w:firstLine="420"/>
        <w:jc w:val="both"/>
      </w:pPr>
      <w:r>
        <w:rPr>
          <w:sz w:val="24"/>
        </w:rPr>
        <w:t>4.台账资料保管要求</w:t>
      </w:r>
    </w:p>
    <w:p>
      <w:pPr>
        <w:pStyle w:val="null3"/>
        <w:ind w:firstLine="420"/>
        <w:jc w:val="both"/>
      </w:pPr>
      <w:r>
        <w:rPr>
          <w:sz w:val="24"/>
        </w:rPr>
        <w:t>乙方应做好各类台账资料的保管（拖吊作业单、暂扣车辆登记明细表、卫星定位轨迹等），以备核查，并至少保管至合同服务期结束后六个月。</w:t>
      </w:r>
    </w:p>
    <w:p>
      <w:pPr>
        <w:pStyle w:val="null3"/>
        <w:ind w:firstLine="420"/>
        <w:jc w:val="both"/>
      </w:pPr>
      <w:r>
        <w:rPr>
          <w:sz w:val="24"/>
        </w:rPr>
        <w:t>（二）拖吊车辆服务要求</w:t>
      </w:r>
    </w:p>
    <w:p>
      <w:pPr>
        <w:pStyle w:val="null3"/>
        <w:ind w:firstLine="420"/>
        <w:jc w:val="both"/>
      </w:pPr>
      <w:r>
        <w:rPr>
          <w:sz w:val="24"/>
        </w:rPr>
        <w:t>1.服务时间要求</w:t>
      </w:r>
    </w:p>
    <w:p>
      <w:pPr>
        <w:pStyle w:val="null3"/>
        <w:ind w:firstLine="420"/>
        <w:jc w:val="both"/>
      </w:pPr>
      <w:r>
        <w:rPr>
          <w:sz w:val="24"/>
        </w:rPr>
        <w:t>乙方须全天候提供的各项拖吊服务（需提供各车场的每月值班表，明确各车场每天值班人员姓名和联系电话）。乙方接到甲方发出的拖吊指令后，要求30分钟内需到达现场实施作业，如属警保卫或整治等提前约定的，超时从约定到达时间起计。</w:t>
      </w:r>
    </w:p>
    <w:p>
      <w:pPr>
        <w:pStyle w:val="null3"/>
        <w:ind w:firstLine="420"/>
        <w:jc w:val="both"/>
      </w:pPr>
      <w:r>
        <w:rPr>
          <w:sz w:val="24"/>
        </w:rPr>
        <w:t>2.现场作业要求</w:t>
      </w:r>
    </w:p>
    <w:p>
      <w:pPr>
        <w:pStyle w:val="null3"/>
        <w:ind w:firstLine="420"/>
        <w:jc w:val="both"/>
      </w:pPr>
      <w:r>
        <w:rPr>
          <w:sz w:val="24"/>
        </w:rPr>
        <w:t>（1）乙方应按照甲方制订的拖吊车作业规范实施作业，包括对被拖吊车辆的检查和清点、按要求使用和填写统一印刷的拖车作业单，以及按规范流程进行作业等；</w:t>
      </w:r>
    </w:p>
    <w:p>
      <w:pPr>
        <w:pStyle w:val="null3"/>
        <w:ind w:firstLine="420"/>
        <w:jc w:val="both"/>
      </w:pPr>
      <w:r>
        <w:rPr>
          <w:sz w:val="24"/>
        </w:rPr>
        <w:t>（2）乙方作业人员应服从现场交警的指挥，作业过程中必须严格遵守有关法律法规关于拖吊交通违法车辆的规定，规范作业，不得影响交通秩序、损坏市政设施等；</w:t>
      </w:r>
    </w:p>
    <w:p>
      <w:pPr>
        <w:pStyle w:val="null3"/>
        <w:ind w:firstLine="420"/>
        <w:jc w:val="both"/>
      </w:pPr>
      <w:r>
        <w:rPr>
          <w:sz w:val="24"/>
        </w:rPr>
        <w:t>（3）乙方实施拖吊作业时，必须有交通警察在场并取得委托，拖车作业单应由在场民警签名确认。乙方应将被拖吊车辆的停放地点及联系方式等，通过文字标示或者其它方式告知当事人。</w:t>
      </w:r>
    </w:p>
    <w:p>
      <w:pPr>
        <w:pStyle w:val="null3"/>
        <w:ind w:firstLine="420"/>
        <w:jc w:val="both"/>
      </w:pPr>
      <w:r>
        <w:rPr>
          <w:sz w:val="24"/>
        </w:rPr>
        <w:t>（4）乙方应按照甲方规定的程序及规范处置被拖吊车辆的随车物品。未经甲方或当事人同意，乙方不得以任何形式打开被拖吊车辆的车门、玻璃窗户、发动机盖、车尾箱及油箱盖等。</w:t>
      </w:r>
    </w:p>
    <w:p>
      <w:pPr>
        <w:pStyle w:val="null3"/>
        <w:ind w:firstLine="420"/>
        <w:jc w:val="both"/>
      </w:pPr>
      <w:r>
        <w:rPr>
          <w:sz w:val="24"/>
        </w:rPr>
        <w:t>（5）一般事故应在到场后30分钟内、较大及以上事故或复杂现场在60分钟内清理完毕，时间从现场交警授权拖吊起计，至现场清理完毕并恢复交通。经现场民警或中队电台同意，清理时间可适当延长。</w:t>
      </w:r>
    </w:p>
    <w:p>
      <w:pPr>
        <w:pStyle w:val="null3"/>
        <w:ind w:firstLine="420"/>
        <w:jc w:val="both"/>
      </w:pPr>
      <w:r>
        <w:rPr>
          <w:sz w:val="24"/>
        </w:rPr>
        <w:t>（6）服务期内乙方发生的各种事故：包括治安、交通、防火等安全案件及劳资纠纷事件等，均由乙方承担相应责任；乙方人员在工作过程中，造成第三方人身或财物损失的，由乙方承担赔偿责任；因乙方人员疏忽，给甲方造成损失的，乙方应承担赔偿责任。发生以上情况乙方应立即通知甲方，协同处理。</w:t>
      </w:r>
    </w:p>
    <w:p>
      <w:pPr>
        <w:pStyle w:val="null3"/>
        <w:ind w:firstLine="420"/>
        <w:jc w:val="both"/>
      </w:pPr>
      <w:r>
        <w:rPr>
          <w:sz w:val="24"/>
        </w:rPr>
        <w:t>（7）拖吊进场后的车辆要由拖吊服务的工作人员负责将拖吊入场的车辆搬下车并按车场保管服务的工作人员指示将车辆摆放好后才算完成整个拖吊工作。</w:t>
      </w:r>
    </w:p>
    <w:p>
      <w:pPr>
        <w:pStyle w:val="null3"/>
        <w:ind w:firstLine="420"/>
        <w:jc w:val="both"/>
      </w:pPr>
      <w:r>
        <w:rPr>
          <w:sz w:val="24"/>
        </w:rPr>
        <w:t>3.跨区域服务要求</w:t>
      </w:r>
    </w:p>
    <w:p>
      <w:pPr>
        <w:pStyle w:val="null3"/>
        <w:ind w:firstLine="420"/>
        <w:jc w:val="both"/>
      </w:pPr>
      <w:r>
        <w:rPr>
          <w:sz w:val="24"/>
        </w:rPr>
        <w:t>乙方应按甲方要求提供跨服务区域的各类拖吊服务，如集中整治、车场转移等，须按甲方要求的车型、人员配备及装备出发。</w:t>
      </w:r>
    </w:p>
    <w:p>
      <w:pPr>
        <w:pStyle w:val="null3"/>
        <w:ind w:firstLine="420"/>
        <w:jc w:val="both"/>
      </w:pPr>
      <w:r>
        <w:rPr>
          <w:sz w:val="24"/>
        </w:rPr>
        <w:t>4.拖吊车辆入停车场的要求</w:t>
      </w:r>
    </w:p>
    <w:p>
      <w:pPr>
        <w:pStyle w:val="null3"/>
        <w:ind w:firstLine="420"/>
        <w:jc w:val="both"/>
      </w:pPr>
      <w:r>
        <w:rPr>
          <w:sz w:val="24"/>
        </w:rPr>
        <w:t>乙方应在暂扣车辆规定时间内（原则上4小时内），按规定路线将涉车辆拖吊至甲方指定的停车场，并按规定与停车场做好交接；如因特殊情况不能于规定时间拖吊进场的，报中队电台登记处理。因乙方违反拖吊车作业规范，导致车辆（含随车物品）进场时与扣留时登记的实际状态不符的，停车场可以拒绝接收车辆，由此造成的法律及经济责任由乙方承担。</w:t>
      </w:r>
    </w:p>
    <w:p>
      <w:pPr>
        <w:pStyle w:val="null3"/>
        <w:ind w:firstLine="420"/>
        <w:jc w:val="both"/>
      </w:pPr>
      <w:r>
        <w:rPr>
          <w:sz w:val="24"/>
        </w:rPr>
        <w:t>5.需称重车辆拖吊的要求</w:t>
      </w:r>
    </w:p>
    <w:p>
      <w:pPr>
        <w:pStyle w:val="null3"/>
        <w:ind w:firstLine="420"/>
        <w:jc w:val="both"/>
      </w:pPr>
      <w:r>
        <w:rPr>
          <w:sz w:val="24"/>
        </w:rPr>
        <w:t>如现场民警要求将涉案车辆拖移至称重点或治超点进行称重的，乙方应予以满足，并在完成称重后，再将车辆拖移至指定的停车场。如仅拖至治超点称重，按一次拖吊作业计费，如再将该涉案货车拖至治超点以外的指定停车场，则共按两次拖吊作业付费。</w:t>
      </w:r>
    </w:p>
    <w:p>
      <w:pPr>
        <w:pStyle w:val="null3"/>
        <w:ind w:firstLine="420"/>
        <w:jc w:val="both"/>
      </w:pPr>
      <w:r>
        <w:rPr>
          <w:sz w:val="24"/>
        </w:rPr>
        <w:t>6.拖吊特殊车辆的要求</w:t>
      </w:r>
    </w:p>
    <w:p>
      <w:pPr>
        <w:pStyle w:val="null3"/>
        <w:ind w:firstLine="420"/>
        <w:jc w:val="both"/>
      </w:pPr>
      <w:r>
        <w:rPr>
          <w:sz w:val="24"/>
        </w:rPr>
        <w:t>如遇特殊情况车辆（如超百吨的大型车辆）需要拖吊，供应商应积极协调提供具有处理能力的车辆进行处置，费用由乙方承担。</w:t>
      </w:r>
    </w:p>
    <w:p>
      <w:pPr>
        <w:pStyle w:val="null3"/>
        <w:ind w:firstLine="420"/>
        <w:jc w:val="both"/>
      </w:pPr>
      <w:r>
        <w:rPr>
          <w:sz w:val="24"/>
        </w:rPr>
        <w:t>7.处置重特大敏感事件的要求</w:t>
      </w:r>
    </w:p>
    <w:p>
      <w:pPr>
        <w:pStyle w:val="null3"/>
        <w:ind w:firstLine="420"/>
        <w:jc w:val="both"/>
      </w:pPr>
      <w:r>
        <w:rPr>
          <w:sz w:val="24"/>
        </w:rPr>
        <w:t>在甲方指令的重特大敏感事件中，乙方要协助对尸体、伤病员的临时转移，确保快速控制清理现场，有效控制负面影响。</w:t>
      </w:r>
    </w:p>
    <w:p>
      <w:pPr>
        <w:pStyle w:val="null3"/>
        <w:ind w:firstLine="420"/>
        <w:jc w:val="both"/>
      </w:pPr>
      <w:r>
        <w:rPr>
          <w:sz w:val="24"/>
        </w:rPr>
        <w:t>（三）交通保障备勤服务要求</w:t>
      </w:r>
    </w:p>
    <w:p>
      <w:pPr>
        <w:pStyle w:val="null3"/>
        <w:ind w:firstLine="420"/>
        <w:jc w:val="both"/>
      </w:pPr>
      <w:r>
        <w:rPr>
          <w:sz w:val="24"/>
        </w:rPr>
        <w:t>1.交通保障备勤指常态化交通高峰时段备勤、交通整治备勤、各项警保卫及大型群体性活动应急备勤，以及按甲方要求的巡逻服务。</w:t>
      </w:r>
    </w:p>
    <w:p>
      <w:pPr>
        <w:pStyle w:val="null3"/>
        <w:ind w:firstLine="420"/>
        <w:jc w:val="both"/>
      </w:pPr>
      <w:r>
        <w:rPr>
          <w:sz w:val="24"/>
        </w:rPr>
        <w:t>2.在警保卫工作中，乙方必须严守秘</w:t>
      </w:r>
      <w:r>
        <w:rPr>
          <w:sz w:val="24"/>
          <w:color w:val="FFFFFF"/>
        </w:rPr>
        <w:t>1</w:t>
      </w:r>
      <w:r>
        <w:rPr>
          <w:sz w:val="24"/>
        </w:rPr>
        <w:t>密。如乙方泄密的，甲方将同时追究乙方的法律责任。</w:t>
      </w:r>
    </w:p>
    <w:p>
      <w:pPr>
        <w:pStyle w:val="null3"/>
        <w:ind w:firstLine="420"/>
        <w:jc w:val="both"/>
      </w:pPr>
      <w:r>
        <w:rPr>
          <w:sz w:val="24"/>
        </w:rPr>
        <w:t>3.乙方对于甲方下达的指令要按时、按质完成，对于可能影响拖吊作业完成的情况要及时向甲方反映。</w:t>
      </w:r>
    </w:p>
    <w:p>
      <w:pPr>
        <w:pStyle w:val="null3"/>
        <w:ind w:firstLine="420"/>
        <w:jc w:val="both"/>
      </w:pPr>
      <w:r>
        <w:rPr>
          <w:sz w:val="24"/>
        </w:rPr>
        <w:t>4.警保卫工作备勤、交通整治备勤以及突发事件处置备勤的拯救车必须在甲方发出收勤指令后方可撤离。</w:t>
      </w:r>
    </w:p>
    <w:p>
      <w:pPr>
        <w:pStyle w:val="null3"/>
        <w:ind w:firstLine="420"/>
        <w:jc w:val="both"/>
      </w:pPr>
      <w:r>
        <w:rPr>
          <w:sz w:val="24"/>
        </w:rPr>
        <w:t>5.乙方应优先确保备勤服务，经甲方同意，可以调配提供其他服务的拯救车参与备勤工作。</w:t>
      </w:r>
    </w:p>
    <w:p>
      <w:pPr>
        <w:pStyle w:val="null3"/>
        <w:ind w:firstLine="420"/>
        <w:jc w:val="both"/>
      </w:pPr>
      <w:r>
        <w:rPr>
          <w:sz w:val="24"/>
        </w:rPr>
        <w:t>6.如备勤拯救车在待命期间执行甲方其他指令的，原则上乙方须提供其他相同功能的拯救车于20分钟内到达原车备勤点待命。</w:t>
      </w:r>
    </w:p>
    <w:p>
      <w:pPr>
        <w:pStyle w:val="null3"/>
        <w:ind w:firstLine="420"/>
        <w:jc w:val="both"/>
      </w:pPr>
      <w:r>
        <w:rPr>
          <w:sz w:val="24"/>
        </w:rPr>
        <w:t>（四）其他清障服务的要求</w:t>
      </w:r>
    </w:p>
    <w:p>
      <w:pPr>
        <w:pStyle w:val="null3"/>
        <w:ind w:firstLine="420"/>
        <w:jc w:val="both"/>
      </w:pPr>
      <w:r>
        <w:rPr>
          <w:sz w:val="24"/>
        </w:rPr>
        <w:t>1.“其他清障”指对道路上妨碍交通的车辆或障碍物的清理（如将妨碍警卫路线的违停车辆拖到不妨碍交通的位置，紧急情况下对路面余泥、杂物以及油污等的清理等），或从事甲方指定的其他涉及交通管理的工作。</w:t>
      </w:r>
    </w:p>
    <w:p>
      <w:pPr>
        <w:pStyle w:val="null3"/>
        <w:ind w:firstLine="420"/>
        <w:jc w:val="both"/>
      </w:pPr>
      <w:r>
        <w:rPr>
          <w:sz w:val="24"/>
        </w:rPr>
        <w:t>2.乙方须按甲方要求的车型、人员配备及装备出车，并准时到达现场完成作业。</w:t>
      </w:r>
    </w:p>
    <w:p>
      <w:pPr>
        <w:pStyle w:val="null3"/>
        <w:ind w:firstLine="420"/>
        <w:jc w:val="both"/>
      </w:pPr>
      <w:r>
        <w:rPr>
          <w:sz w:val="24"/>
        </w:rPr>
        <w:t>（五）关于空驶的要求</w:t>
      </w:r>
    </w:p>
    <w:p>
      <w:pPr>
        <w:pStyle w:val="null3"/>
        <w:ind w:firstLine="420"/>
        <w:jc w:val="both"/>
      </w:pPr>
      <w:r>
        <w:rPr>
          <w:sz w:val="24"/>
        </w:rPr>
        <w:t>1.空驶是指甲方向乙方发出拖吊指令，后因客观原因甲方取消拖吊指令。</w:t>
      </w:r>
    </w:p>
    <w:p>
      <w:pPr>
        <w:pStyle w:val="null3"/>
        <w:ind w:firstLine="420"/>
        <w:jc w:val="both"/>
      </w:pPr>
      <w:r>
        <w:rPr>
          <w:sz w:val="24"/>
        </w:rPr>
        <w:t>2.空驶必须同时满足以下两个条件：一是由甲方发出拖吊指令，后甲方取消拖吊指令，甲方中队电台有原始的登记记录；二是拖车公司能提供相应的定位轨迹证明根据甲方该次指令已出动拖车并已行驶3公里（含3公里）以上。</w:t>
      </w:r>
    </w:p>
    <w:p>
      <w:pPr>
        <w:pStyle w:val="null3"/>
        <w:ind w:firstLine="420"/>
        <w:jc w:val="both"/>
      </w:pPr>
      <w:r>
        <w:rPr>
          <w:sz w:val="24"/>
        </w:rPr>
        <w:t>（六）关于应用系统监管拖吊车的要求</w:t>
      </w:r>
    </w:p>
    <w:p>
      <w:pPr>
        <w:pStyle w:val="null3"/>
        <w:ind w:firstLine="420"/>
        <w:jc w:val="both"/>
      </w:pPr>
      <w:r>
        <w:rPr>
          <w:sz w:val="24"/>
        </w:rPr>
        <w:t>乙方要根据甲方开发出的涉案车辆管理系统平台对拖吊车开展日常拖吊服务，每名负责拖吊服务的司机需配备一台安卓手机并安装由甲方开发的涉案车辆管理系统，乙方必须配合使用，加强对本项目监管，按甲方要求配备相应的硬件设备、操作人员，培训相关操作人员熟练使用系统，建立信息化系统使用手册等技术资料，按甲方规定使用和管理。</w:t>
      </w:r>
    </w:p>
    <w:p>
      <w:pPr>
        <w:pStyle w:val="null3"/>
        <w:ind w:firstLine="422"/>
        <w:jc w:val="both"/>
      </w:pPr>
      <w:r>
        <w:rPr>
          <w:sz w:val="24"/>
          <w:b/>
        </w:rPr>
        <w:t>四、考评奖惩办法</w:t>
      </w:r>
    </w:p>
    <w:p>
      <w:pPr>
        <w:pStyle w:val="null3"/>
        <w:ind w:firstLine="420"/>
        <w:jc w:val="both"/>
      </w:pPr>
      <w:r>
        <w:rPr>
          <w:sz w:val="24"/>
        </w:rPr>
        <w:t>（一）考评管理要求的说明</w:t>
      </w:r>
    </w:p>
    <w:p>
      <w:pPr>
        <w:pStyle w:val="null3"/>
        <w:ind w:firstLine="420"/>
        <w:jc w:val="both"/>
      </w:pPr>
      <w:r>
        <w:rPr>
          <w:sz w:val="24"/>
        </w:rPr>
        <w:t>1.乙方在合同期间违反法律法规、《合同》及本管理办法规定的，甲方有权追究乙方的责任，且造成的损失全部由乙方负责。</w:t>
      </w:r>
    </w:p>
    <w:p>
      <w:pPr>
        <w:pStyle w:val="null3"/>
        <w:ind w:firstLine="420"/>
        <w:jc w:val="both"/>
      </w:pPr>
      <w:r>
        <w:rPr>
          <w:sz w:val="24"/>
        </w:rPr>
        <w:t>2.乙方如出现重大违规事件（如违反作业规范造成较大责任事故以上），甲方不支付当月服务费用，且由此造成的损失由乙方负责。</w:t>
      </w:r>
    </w:p>
    <w:p>
      <w:pPr>
        <w:pStyle w:val="null3"/>
        <w:ind w:firstLine="420"/>
        <w:jc w:val="both"/>
      </w:pPr>
      <w:r>
        <w:rPr>
          <w:sz w:val="24"/>
        </w:rPr>
        <w:t>3.甲方每月对乙方的服务情况进行考评考核，并按考评结果支付服务费用；考评表评分按百分制，每一个月为一个计分周期，当月得分低于60分的，视为不合格，当月服务费用不予支付。</w:t>
      </w:r>
    </w:p>
    <w:p>
      <w:pPr>
        <w:pStyle w:val="null3"/>
        <w:ind w:firstLine="420"/>
        <w:jc w:val="both"/>
      </w:pPr>
      <w:r>
        <w:rPr>
          <w:sz w:val="24"/>
        </w:rPr>
        <w:t>4.乙方服务费支付比例和月度考核情况挂钩：</w:t>
      </w:r>
    </w:p>
    <w:p>
      <w:pPr>
        <w:pStyle w:val="null3"/>
        <w:ind w:firstLine="420"/>
        <w:jc w:val="both"/>
      </w:pPr>
      <w:r>
        <w:rPr>
          <w:sz w:val="24"/>
        </w:rPr>
        <w:t>（1）当月总评＜60分的，视为不合格，当月服务费不予支付并从合同后续服务费结算中扣减10万元，如无法从合同后续服务费结算中扣减则从履约保函的保证金中扣减，且甲方可单方面解除合同；</w:t>
      </w:r>
    </w:p>
    <w:p>
      <w:pPr>
        <w:pStyle w:val="null3"/>
        <w:ind w:firstLine="420"/>
        <w:jc w:val="both"/>
      </w:pPr>
      <w:r>
        <w:rPr>
          <w:sz w:val="24"/>
        </w:rPr>
        <w:t>（2）当月总评60分或60分以上的，按总评分数支付相同比例的服务费。例如当月得分为85.2分的，则按85.2%支付当月服务费，依此类推；</w:t>
      </w:r>
    </w:p>
    <w:p>
      <w:pPr>
        <w:pStyle w:val="null3"/>
        <w:ind w:firstLine="420"/>
        <w:jc w:val="both"/>
      </w:pPr>
      <w:r>
        <w:rPr>
          <w:sz w:val="24"/>
        </w:rPr>
        <w:t>（3）当月总评100分或100分以上的，按100％支付当月服务费；</w:t>
      </w:r>
    </w:p>
    <w:p>
      <w:pPr>
        <w:pStyle w:val="null3"/>
        <w:ind w:firstLine="420"/>
        <w:jc w:val="both"/>
      </w:pPr>
      <w:r>
        <w:rPr>
          <w:sz w:val="24"/>
        </w:rPr>
        <w:t>（二）扣分标准</w:t>
      </w:r>
    </w:p>
    <w:p>
      <w:pPr>
        <w:pStyle w:val="null3"/>
        <w:ind w:firstLine="420"/>
        <w:jc w:val="both"/>
      </w:pPr>
      <w:r>
        <w:rPr>
          <w:sz w:val="24"/>
        </w:rPr>
        <w:t>1.乙方提供拖吊作业服务时，如违反</w:t>
      </w:r>
      <w:r>
        <w:rPr>
          <w:sz w:val="24"/>
          <w:color w:val="000000"/>
        </w:rPr>
        <w:t>《拖吊车及交通清障服务采购需求》及《拖吊车及交通清障服务合同》</w:t>
      </w:r>
      <w:r>
        <w:rPr>
          <w:sz w:val="24"/>
        </w:rPr>
        <w:t>中任意一项要求的（下述单列出的扣分标准除外），每次扣1分。</w:t>
      </w:r>
    </w:p>
    <w:p>
      <w:pPr>
        <w:pStyle w:val="null3"/>
        <w:ind w:firstLine="420"/>
        <w:jc w:val="both"/>
      </w:pPr>
      <w:r>
        <w:rPr>
          <w:sz w:val="24"/>
        </w:rPr>
        <w:t>2.乙方在拖吊作业中发生重大失误或违规事件并被当事人投诉至相关部门的，每次扣10分；被当事人起诉的，扣20分；被新闻媒体曝光的，扣30分。本扣分条款与其他扣分条款可累加。</w:t>
      </w:r>
    </w:p>
    <w:p>
      <w:pPr>
        <w:pStyle w:val="null3"/>
        <w:ind w:firstLine="420"/>
        <w:jc w:val="both"/>
      </w:pPr>
      <w:r>
        <w:rPr>
          <w:sz w:val="24"/>
        </w:rPr>
        <w:t>3.乙方提供拖吊作业服务时，到达现场超过规定时间的，按超时的时长扣分，具体标准如下表：</w:t>
      </w:r>
    </w:p>
    <w:p>
      <w:pPr>
        <w:pStyle w:val="null3"/>
        <w:jc w:val="center"/>
      </w:pPr>
      <w:r>
        <w:rPr>
          <w:sz w:val="24"/>
        </w:rPr>
        <w:t>表2：到达现场超时扣分标准</w:t>
      </w:r>
    </w:p>
    <w:tbl>
      <w:tblPr>
        <w:tblW w:w="0" w:type="auto"/>
        <w:tblBorders>
          <w:top w:val="none" w:color="000000" w:sz="4"/>
          <w:left w:val="none" w:color="000000" w:sz="4"/>
          <w:bottom w:val="none" w:color="000000" w:sz="4"/>
          <w:right w:val="none" w:color="000000" w:sz="4"/>
          <w:insideH w:val="none"/>
          <w:insideV w:val="none"/>
        </w:tblBorders>
      </w:tblPr>
      <w:tblGrid>
        <w:gridCol w:w="3175"/>
        <w:gridCol w:w="2678"/>
        <w:gridCol w:w="2453"/>
      </w:tblGrid>
      <w:tr>
        <w:tc>
          <w:tcPr>
            <w:tcW w:type="dxa" w:w="3175"/>
            <w:tcBorders>
              <w:top w:val="single" w:color="000000" w:sz="4"/>
              <w:left w:val="single" w:color="000000" w:sz="4"/>
              <w:bottom w:val="single" w:color="000000" w:sz="4"/>
              <w:right w:val="single" w:color="000000" w:sz="4"/>
            </w:tcBorders>
            <w:shd w:fill="DFE0E5"/>
            <w:tcMar>
              <w:top w:type="dxa" w:w="0"/>
              <w:left w:type="dxa" w:w="105"/>
              <w:bottom w:type="dxa" w:w="0"/>
              <w:right w:type="dxa" w:w="105"/>
            </w:tcMar>
          </w:tcPr>
          <w:p>
            <w:pPr>
              <w:pStyle w:val="null3"/>
              <w:jc w:val="center"/>
            </w:pPr>
            <w:r>
              <w:rPr>
                <w:sz w:val="24"/>
              </w:rPr>
              <w:t>超时时长</w:t>
            </w:r>
          </w:p>
        </w:tc>
        <w:tc>
          <w:tcPr>
            <w:tcW w:type="dxa" w:w="2678"/>
            <w:tcBorders>
              <w:top w:val="single" w:color="000000" w:sz="4"/>
              <w:left w:val="none" w:color="000000" w:sz="4"/>
              <w:bottom w:val="single" w:color="000000" w:sz="4"/>
              <w:right w:val="single" w:color="000000" w:sz="4"/>
            </w:tcBorders>
            <w:shd w:fill="DFE0E5"/>
            <w:tcMar>
              <w:top w:type="dxa" w:w="0"/>
              <w:left w:type="dxa" w:w="105"/>
              <w:bottom w:type="dxa" w:w="0"/>
              <w:right w:type="dxa" w:w="105"/>
            </w:tcMar>
          </w:tcPr>
          <w:p>
            <w:pPr>
              <w:pStyle w:val="null3"/>
              <w:jc w:val="center"/>
            </w:pPr>
            <w:r>
              <w:rPr>
                <w:sz w:val="24"/>
              </w:rPr>
              <w:t>未造成明显影响的</w:t>
            </w:r>
          </w:p>
        </w:tc>
        <w:tc>
          <w:tcPr>
            <w:tcW w:type="dxa" w:w="2453"/>
            <w:tcBorders>
              <w:top w:val="single" w:color="000000" w:sz="4"/>
              <w:left w:val="none" w:color="000000" w:sz="4"/>
              <w:bottom w:val="single" w:color="000000" w:sz="4"/>
              <w:right w:val="single" w:color="000000" w:sz="4"/>
            </w:tcBorders>
            <w:shd w:fill="DFE0E5"/>
            <w:tcMar>
              <w:top w:type="dxa" w:w="0"/>
              <w:left w:type="dxa" w:w="105"/>
              <w:bottom w:type="dxa" w:w="0"/>
              <w:right w:type="dxa" w:w="105"/>
            </w:tcMar>
          </w:tcPr>
          <w:p>
            <w:pPr>
              <w:pStyle w:val="null3"/>
              <w:jc w:val="center"/>
            </w:pPr>
            <w:r>
              <w:rPr>
                <w:sz w:val="24"/>
              </w:rPr>
              <w:t>造成明显影响的</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超时＜20分钟</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警告</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5分/次</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20分钟≤超时＜40分钟</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0.5分/次</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6分/次</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40分钟≤超时＜1小时</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1分/次</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8分/次</w:t>
            </w:r>
          </w:p>
        </w:tc>
      </w:tr>
      <w:tr>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1小时≤超时</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2分/次</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10分/次</w:t>
            </w:r>
          </w:p>
        </w:tc>
      </w:tr>
    </w:tbl>
    <w:p>
      <w:pPr>
        <w:pStyle w:val="null3"/>
        <w:ind w:firstLine="420"/>
        <w:jc w:val="both"/>
      </w:pPr>
      <w:r>
        <w:rPr>
          <w:sz w:val="24"/>
        </w:rPr>
        <w:t>注：“造成明显影响”是指：（1）造成重点城区主干道堵塞300米以上；（2）造成快速路堵塞1公里以上；（3）在重要保卫中发生；（4）导致同一警情出现5宗以上。如由于事故、严重堵塞或其他客观原因导致无法准时到达现场的，经发出指令的甲方出具书面说明，可免予扣分。</w:t>
      </w:r>
    </w:p>
    <w:p>
      <w:pPr>
        <w:pStyle w:val="null3"/>
        <w:ind w:firstLine="420"/>
        <w:jc w:val="both"/>
      </w:pPr>
      <w:r>
        <w:rPr>
          <w:sz w:val="24"/>
        </w:rPr>
        <w:t>4.乙方接到甲方服务指令后，拒不提供服务或拖延服务时间的（无正当理由在接到指令30分钟内未到达现场），每次扣5分。</w:t>
      </w:r>
    </w:p>
    <w:p>
      <w:pPr>
        <w:pStyle w:val="null3"/>
        <w:ind w:firstLine="420"/>
        <w:jc w:val="both"/>
      </w:pPr>
      <w:r>
        <w:rPr>
          <w:sz w:val="24"/>
        </w:rPr>
        <w:t>5.乙方实施拖吊作业没有按规范流程操作的，或没有按规定时间及路线进场，或未立刻服从现场交警指示的，每次扣2分，造成损失的每次扣5分；重特大敏感事件中，未及时按现场交警指示协助对尸体、伤病员的临时转移的每次扣10分。</w:t>
      </w:r>
    </w:p>
    <w:p>
      <w:pPr>
        <w:pStyle w:val="null3"/>
        <w:ind w:firstLine="420"/>
        <w:jc w:val="both"/>
      </w:pPr>
      <w:r>
        <w:rPr>
          <w:sz w:val="24"/>
        </w:rPr>
        <w:t>6.乙方盗窃或置换被拖吊车辆零配件或车上物品的，每次扣20分；数量或金额较大的（如盗窃或置换整车、一次盗窃或置换电池10个以上、盗窃车上物品估计价值超过1万元的），每次扣30分，同时追究乙方法律责任。</w:t>
      </w:r>
    </w:p>
    <w:p>
      <w:pPr>
        <w:pStyle w:val="null3"/>
        <w:ind w:firstLine="420"/>
        <w:jc w:val="both"/>
      </w:pPr>
      <w:r>
        <w:rPr>
          <w:sz w:val="24"/>
        </w:rPr>
        <w:t>7.因乙方原因造成被拖吊车辆或车上物品、零部件遗失或严重损坏（无法修复）的，每次扣10分，并由乙方负责赔偿。</w:t>
      </w:r>
    </w:p>
    <w:p>
      <w:pPr>
        <w:pStyle w:val="null3"/>
        <w:ind w:firstLine="420"/>
        <w:jc w:val="both"/>
      </w:pPr>
      <w:r>
        <w:rPr>
          <w:sz w:val="24"/>
        </w:rPr>
        <w:t>8.乙方私自使用被拖吊车辆或车上物品的，每次扣5分。</w:t>
      </w:r>
    </w:p>
    <w:p>
      <w:pPr>
        <w:pStyle w:val="null3"/>
        <w:ind w:firstLine="420"/>
        <w:jc w:val="both"/>
      </w:pPr>
      <w:r>
        <w:rPr>
          <w:sz w:val="24"/>
        </w:rPr>
        <w:t>9.乙方涉嫌违规收费的，视情况每次扣10-30分。因收费问题被当事人投诉并经调查确认乙方索要超标拖吊车费的，每次扣10分。</w:t>
      </w:r>
    </w:p>
    <w:p>
      <w:pPr>
        <w:pStyle w:val="null3"/>
        <w:ind w:firstLine="420"/>
        <w:jc w:val="both"/>
      </w:pPr>
      <w:r>
        <w:rPr>
          <w:sz w:val="24"/>
        </w:rPr>
        <w:t>已产生违规收费事实的：（1）根据相关规定不得向当事人收取费用而违规向当事人收取费用的，每次扣10分；（2）超标准收取拖吊车费及清理费的，每次扣10分；（3）杜撰服务项目进行收费的，每次扣15分；（4）当事人投诉至相关部门的，每次扣10分；当事人起诉的，扣20分；（5）被网络、报纸以及电视等媒介曝光造成恶劣影响的，每次扣30分。</w:t>
      </w:r>
    </w:p>
    <w:p>
      <w:pPr>
        <w:pStyle w:val="null3"/>
        <w:ind w:firstLine="420"/>
        <w:jc w:val="both"/>
      </w:pPr>
      <w:r>
        <w:rPr>
          <w:sz w:val="24"/>
        </w:rPr>
        <w:t>10.如由拖车作业员填写拖车作业单且出现填写错漏的：（1）经甲方检查发现的，拖吊该辆车的该次服务费用不予支付，同时每张扣1分；（2）填写错漏且被拖吊车辆出现财物被盗窃或置换的，认定为拖车作业员主观故意，每宗扣10分。</w:t>
      </w:r>
    </w:p>
    <w:p>
      <w:pPr>
        <w:pStyle w:val="null3"/>
        <w:ind w:firstLine="420"/>
        <w:jc w:val="both"/>
      </w:pPr>
      <w:r>
        <w:rPr>
          <w:sz w:val="24"/>
        </w:rPr>
        <w:t>11.由于乙方原因未能及时完成拖吊作业的：（1）在一般工作或保卫工作中，每次扣5分；（2）造成重大堵塞（市区主干道堵塞300米以上，快速路堵塞1公里以上）的，每次扣10分；（3）在高级别警保卫（二级警卫及以上）或重大群体性活动中，造成堵塞的（50米以上或影响车队快速通过），每次扣15分；（4）造成警卫车队无法正常通过的，每次扣30分。</w:t>
      </w:r>
    </w:p>
    <w:p>
      <w:pPr>
        <w:pStyle w:val="null3"/>
        <w:ind w:firstLine="420"/>
        <w:jc w:val="both"/>
      </w:pPr>
      <w:r>
        <w:rPr>
          <w:sz w:val="24"/>
        </w:rPr>
        <w:t>12.乙方不按投标文件承诺或甲方要求投入相应人力或拯救车的，缺少作业人员每人次扣0.5分、缺少拯救车（或车型不符）每辆次扣1分并限期改正；不按甲方要求实施整改的，每延迟一天扣1分，至整改至符合甲方要求止；如对甲方工作造成影响的，每次扣5分。</w:t>
      </w:r>
    </w:p>
    <w:p>
      <w:pPr>
        <w:pStyle w:val="null3"/>
        <w:ind w:firstLine="420"/>
        <w:jc w:val="both"/>
      </w:pPr>
      <w:r>
        <w:rPr>
          <w:sz w:val="24"/>
        </w:rPr>
        <w:t>13.乙方不按甲方要求使用拯救车车载卫星定位系统、行车记录仪的，或不按要求保存相关数据的，每次扣5分并限期整改；未按要求整改的，每延迟一天扣1分，至整改至符合甲方要求为止。</w:t>
      </w:r>
    </w:p>
    <w:p>
      <w:pPr>
        <w:pStyle w:val="null3"/>
        <w:ind w:firstLine="420"/>
        <w:jc w:val="both"/>
      </w:pPr>
      <w:r>
        <w:rPr>
          <w:sz w:val="24"/>
        </w:rPr>
        <w:t>14.乙方未按甲方要求备勤的（包括未按规定时间、地点、车型、人员配备备勤和自行收勤），每次扣2分；备勤车辆在接到指令后10分钟之内未开动的，每次扣2分；如造成甲方工作失误的，每次扣5分；在高级别警保卫（二级警卫及以上）或重大群体性活动中，每次扣10分。</w:t>
      </w:r>
    </w:p>
    <w:p>
      <w:pPr>
        <w:pStyle w:val="null3"/>
        <w:ind w:firstLine="420"/>
        <w:jc w:val="both"/>
      </w:pPr>
      <w:r>
        <w:rPr>
          <w:sz w:val="24"/>
        </w:rPr>
        <w:t>15.乙方将合同内的拯救车从事社会服务的，每次扣2分；将备勤拯救车擅自挪作他用的，每次扣5分。</w:t>
      </w:r>
    </w:p>
    <w:p>
      <w:pPr>
        <w:pStyle w:val="null3"/>
        <w:ind w:firstLine="420"/>
        <w:jc w:val="both"/>
      </w:pPr>
      <w:r>
        <w:rPr>
          <w:sz w:val="24"/>
        </w:rPr>
        <w:t>16.乙方不按时提交项目结算资料的，每延迟一天扣0.2分；乙方项目结算资料出现2处及2处以上错误的，每增加1处扣0.2分。</w:t>
      </w:r>
    </w:p>
    <w:p>
      <w:pPr>
        <w:pStyle w:val="null3"/>
        <w:ind w:firstLine="420"/>
        <w:jc w:val="both"/>
      </w:pPr>
      <w:r>
        <w:rPr>
          <w:sz w:val="24"/>
        </w:rPr>
        <w:t>17.乙方不按甲方要求派车（例如要求派大型拖吊车而派小型拖吊车、拖吊车上要求带包括枕木、消防器材、扫把、簸箕、木屑、铁铲、拖车绳、裹尸布（袋）、扳手、简易担架、车罩、毛毯、警示筒、警示带等物品未带）或车辆状况不正常（不能正常作业、无号牌或故意遮挡号牌等）的，每次扣2分，造成严重影响的，每次扣5分。</w:t>
      </w:r>
    </w:p>
    <w:p>
      <w:pPr>
        <w:pStyle w:val="null3"/>
        <w:ind w:firstLine="420"/>
        <w:jc w:val="both"/>
      </w:pPr>
      <w:r>
        <w:rPr>
          <w:sz w:val="24"/>
        </w:rPr>
        <w:t>18.乙方故意提供虚假报账材料的，每次扣20分，并限期整改，已支付相关费用的，限期退还多余费用。</w:t>
      </w:r>
    </w:p>
    <w:p>
      <w:pPr>
        <w:pStyle w:val="null3"/>
        <w:ind w:firstLine="420"/>
        <w:jc w:val="both"/>
      </w:pPr>
      <w:r>
        <w:rPr>
          <w:sz w:val="24"/>
        </w:rPr>
        <w:t>19.乙方及其工作人员违反国家有关规定，向他人出售或提供公民个人信息，情节严重，被公安机关立案侦查的，每次扣20分。</w:t>
      </w:r>
    </w:p>
    <w:p>
      <w:pPr>
        <w:pStyle w:val="null3"/>
        <w:ind w:firstLine="420"/>
        <w:jc w:val="both"/>
      </w:pPr>
      <w:r>
        <w:rPr>
          <w:sz w:val="24"/>
        </w:rPr>
        <w:t>20.乙方在警保卫工作中，发生泄密行为的，每次扣20分。</w:t>
      </w:r>
    </w:p>
    <w:p>
      <w:pPr>
        <w:pStyle w:val="null3"/>
        <w:ind w:firstLine="420"/>
        <w:jc w:val="both"/>
      </w:pPr>
      <w:r>
        <w:rPr>
          <w:sz w:val="24"/>
        </w:rPr>
        <w:t>21.乙方不按甲方要求使用相关管理系统的，每次扣2分，发生故障后未及时维护恢复使用超过1天的，每超1天扣1分。</w:t>
      </w:r>
    </w:p>
    <w:p>
      <w:pPr>
        <w:pStyle w:val="null3"/>
        <w:ind w:firstLine="420"/>
        <w:jc w:val="both"/>
      </w:pPr>
      <w:r>
        <w:rPr>
          <w:sz w:val="24"/>
        </w:rPr>
        <w:t>22.对于以上乙方的过错行为，扣分可累加，无扣分次数及扣分总额的上限。</w:t>
      </w:r>
    </w:p>
    <w:p>
      <w:pPr>
        <w:pStyle w:val="null3"/>
        <w:ind w:firstLine="420"/>
        <w:jc w:val="both"/>
      </w:pPr>
      <w:r>
        <w:rPr>
          <w:sz w:val="24"/>
        </w:rPr>
        <w:t>（三）奖分办法</w:t>
      </w:r>
    </w:p>
    <w:p>
      <w:pPr>
        <w:pStyle w:val="null3"/>
        <w:ind w:firstLine="420"/>
        <w:jc w:val="both"/>
      </w:pPr>
      <w:r>
        <w:rPr>
          <w:sz w:val="24"/>
        </w:rPr>
        <w:t>1.乙方发现交通事故、故障车辆或障碍物并及时上报且经甲方书面确认的，每宗奖励1分。</w:t>
      </w:r>
    </w:p>
    <w:p>
      <w:pPr>
        <w:pStyle w:val="null3"/>
        <w:ind w:firstLine="420"/>
        <w:jc w:val="both"/>
      </w:pPr>
      <w:r>
        <w:rPr>
          <w:sz w:val="24"/>
        </w:rPr>
        <w:t>2.乙方作业及时、服务好或效果佳，被新闻媒体表扬的，每宗奖励5分。</w:t>
      </w:r>
    </w:p>
    <w:p>
      <w:pPr>
        <w:pStyle w:val="null3"/>
        <w:ind w:firstLine="420"/>
        <w:jc w:val="both"/>
      </w:pPr>
      <w:r>
        <w:rPr>
          <w:sz w:val="24"/>
        </w:rPr>
        <w:t>3.每月奖分5分封顶。奖分加至月度总评超过100分时，服务费按100%支付。</w:t>
      </w:r>
    </w:p>
    <w:p>
      <w:pPr>
        <w:pStyle w:val="null3"/>
        <w:ind w:firstLine="420"/>
        <w:jc w:val="both"/>
      </w:pPr>
      <w:r>
        <w:rPr>
          <w:sz w:val="24"/>
        </w:rPr>
        <w:t>（四）整改落实要求</w:t>
      </w:r>
    </w:p>
    <w:p>
      <w:pPr>
        <w:pStyle w:val="null3"/>
        <w:ind w:firstLine="420"/>
        <w:jc w:val="both"/>
      </w:pPr>
      <w:r>
        <w:rPr>
          <w:sz w:val="24"/>
        </w:rPr>
        <w:t>根据存在问题，甲方对乙方发出《整改通知书》(附件1），要求限期整改，乙方应在规定期限内实施整改，并将整改的情况书面报甲方。</w:t>
      </w:r>
    </w:p>
    <w:p>
      <w:pPr>
        <w:pStyle w:val="null3"/>
        <w:ind w:firstLine="420"/>
        <w:jc w:val="both"/>
      </w:pPr>
      <w:r>
        <w:rPr>
          <w:sz w:val="24"/>
        </w:rPr>
        <w:t>（五）形成结算依据</w:t>
      </w:r>
    </w:p>
    <w:p>
      <w:pPr>
        <w:pStyle w:val="null3"/>
        <w:ind w:firstLine="420"/>
        <w:jc w:val="both"/>
      </w:pPr>
      <w:r>
        <w:rPr>
          <w:sz w:val="24"/>
        </w:rPr>
        <w:t>甲方每月制作月度考评总表（附件2），作为结算依据之一。</w:t>
      </w:r>
    </w:p>
    <w:p>
      <w:pPr>
        <w:pStyle w:val="null3"/>
        <w:ind w:firstLine="420"/>
        <w:jc w:val="both"/>
      </w:pPr>
      <w:r>
        <w:rPr>
          <w:sz w:val="24"/>
        </w:rPr>
        <w:t>（六）供应商社会责任与合规要求</w:t>
      </w:r>
    </w:p>
    <w:p>
      <w:pPr>
        <w:pStyle w:val="null3"/>
        <w:ind w:firstLine="420"/>
        <w:jc w:val="both"/>
      </w:pPr>
      <w:r>
        <w:rPr>
          <w:sz w:val="24"/>
        </w:rPr>
        <w:t>1.乙方应按照《中华人民共和国劳动法》的相关规定发放工资，作业人员工资不得低于广州市企业职工最低工资标准（工资不含按国家规定供应商必须支付的社会保险及其他应付费用）。</w:t>
      </w:r>
    </w:p>
    <w:p>
      <w:pPr>
        <w:pStyle w:val="null3"/>
        <w:ind w:firstLine="420"/>
        <w:jc w:val="both"/>
      </w:pPr>
      <w:r>
        <w:rPr>
          <w:sz w:val="24"/>
        </w:rPr>
        <w:t>2.中标供应商应按照《中华人民共和国社会保险法》和《住房公积金管理条例》的相关规定，支付国家规定必须购买的社会保险费用和缴存住房公积金。</w:t>
      </w:r>
    </w:p>
    <w:p>
      <w:pPr>
        <w:pStyle w:val="null3"/>
        <w:ind w:firstLine="420"/>
        <w:jc w:val="both"/>
      </w:pPr>
      <w:r>
        <w:rPr>
          <w:sz w:val="24"/>
        </w:rPr>
        <w:t>中标供应商应确保按照国家法律法规和合同约定支付工人工资，不得无故拖欠工人工资。如有违反，责任由中标供应商承担。由于乙方未按上述规定执行，导致发生的任何劳工纠纷等任何责任与甲方无关，甲方无须承担任何责任。</w:t>
      </w:r>
    </w:p>
    <w:p>
      <w:pPr>
        <w:pStyle w:val="null3"/>
        <w:ind w:firstLine="422"/>
        <w:jc w:val="both"/>
      </w:pPr>
      <w:r>
        <w:rPr>
          <w:sz w:val="24"/>
          <w:b/>
          <w:color w:val="000000"/>
        </w:rPr>
        <w:t>（七）投保商业保险</w:t>
      </w:r>
    </w:p>
    <w:p>
      <w:pPr>
        <w:pStyle w:val="null3"/>
        <w:ind w:firstLine="420"/>
        <w:jc w:val="both"/>
      </w:pPr>
      <w:r>
        <w:rPr>
          <w:sz w:val="24"/>
        </w:rPr>
        <w:t>为了提高乙方对合同的履约能力，有效解决被拖车辆因自然或人为因素造成损毁所导致的赔偿问题，就乙方投保商业保险提出具体约定如下：</w:t>
      </w:r>
    </w:p>
    <w:p>
      <w:pPr>
        <w:pStyle w:val="null3"/>
        <w:ind w:firstLine="420"/>
        <w:jc w:val="both"/>
      </w:pPr>
      <w:r>
        <w:rPr>
          <w:sz w:val="24"/>
        </w:rPr>
        <w:t>1.乙方在合同有效期内应就拖曳车辆的具体行为定期购买商业财产保险；</w:t>
      </w:r>
    </w:p>
    <w:p>
      <w:pPr>
        <w:pStyle w:val="null3"/>
        <w:ind w:firstLine="420"/>
        <w:jc w:val="both"/>
      </w:pPr>
      <w:r>
        <w:rPr>
          <w:sz w:val="24"/>
        </w:rPr>
        <w:t>2.乙方所购上述财产保险的投保及理赔范围应全面且细致，除突发自然灾害、战争等不可抗拒的因素外，须包括车辆在被拖曳过程中遭到盗抢、火灾（含自燃）、二次交通事故以及因其它人为因素造成损失等一切可预见的情况；</w:t>
      </w:r>
    </w:p>
    <w:p>
      <w:pPr>
        <w:pStyle w:val="null3"/>
        <w:ind w:firstLine="420"/>
        <w:jc w:val="both"/>
      </w:pPr>
      <w:r>
        <w:rPr>
          <w:sz w:val="24"/>
        </w:rPr>
        <w:t>3.乙方所购上述财产保险的理赔时限应在合同履约期内持续有效，若其间发生理赔事故的，应当在投保期限终止前与保险公司续约或重新与其他保险公司签约投保，保障合同履约期限内任意时刻的保险理赔金额应不少于人民币800万元整；</w:t>
      </w:r>
    </w:p>
    <w:p>
      <w:pPr>
        <w:pStyle w:val="null3"/>
        <w:ind w:firstLine="420"/>
        <w:jc w:val="both"/>
      </w:pPr>
      <w:r>
        <w:rPr>
          <w:sz w:val="24"/>
        </w:rPr>
        <w:t>4.乙方在拖曳车辆的过程中，发生上述财产保险理赔范围内的事故时，保险公司的赔付金额不足以全额支付乙方所应当承担的法律责任的，上述的不足部分应由乙方自行担负，甲方不承担因此而导致的任何法律后果；</w:t>
      </w:r>
    </w:p>
    <w:p>
      <w:pPr>
        <w:pStyle w:val="null3"/>
        <w:ind w:firstLine="420"/>
        <w:jc w:val="both"/>
      </w:pPr>
      <w:r>
        <w:rPr>
          <w:sz w:val="24"/>
        </w:rPr>
        <w:t>5.对于商业保险所不予理赔的范围及其它相关情况，乙方应向第三方当事人即被拖曳车辆的车主（司机）所提供的托收票据（一式三联）中予以书面说明，在拖曳车辆具体行为实施之前交由该车主（司机）签字确认，并将上述票据分别交由甲方、乙方、第三方当事人妥善保管；</w:t>
      </w:r>
    </w:p>
    <w:p>
      <w:pPr>
        <w:pStyle w:val="null3"/>
        <w:ind w:firstLine="420"/>
        <w:jc w:val="both"/>
      </w:pPr>
      <w:r>
        <w:rPr>
          <w:sz w:val="24"/>
        </w:rPr>
        <w:t>6.上述1-5款所称商业保险，仅指乙方为第三方当事人即被拖曳车辆的车主（司机）所提供的风险保障，不含乙方为自身车辆及装备提供的风险保障；乙方自身的风险保障由乙方自行确定，不属于本项目约定的范围。</w:t>
      </w:r>
    </w:p>
    <w:p>
      <w:pPr>
        <w:pStyle w:val="null3"/>
        <w:ind w:firstLine="422"/>
        <w:jc w:val="both"/>
      </w:pPr>
      <w:r>
        <w:rPr>
          <w:sz w:val="24"/>
          <w:b/>
          <w:color w:val="000000"/>
        </w:rPr>
        <w:t>五、计费方式与支付程序</w:t>
      </w:r>
    </w:p>
    <w:p>
      <w:pPr>
        <w:pStyle w:val="null3"/>
        <w:ind w:firstLine="420"/>
      </w:pPr>
      <w:r>
        <w:rPr>
          <w:sz w:val="24"/>
          <w:color w:val="000000"/>
        </w:rPr>
        <w:t>（一）拖吊作业服务计费</w:t>
      </w:r>
    </w:p>
    <w:p>
      <w:pPr>
        <w:pStyle w:val="null3"/>
        <w:ind w:firstLine="420"/>
      </w:pPr>
      <w:r>
        <w:rPr>
          <w:sz w:val="24"/>
          <w:color w:val="000000"/>
        </w:rPr>
        <w:t>1.</w:t>
      </w:r>
      <w:r>
        <w:rPr>
          <w:sz w:val="24"/>
          <w:color w:val="000000"/>
        </w:rPr>
        <w:t>交通违法车辆和因交警部门查验取证需要暂扣事故车辆（含交通事故现场清理在内，不再另外支付），属于本项目采购支付范围。由甲方按拖吊数量与拖吊中标单价（基准价*中标折扣率）进行结算，由财政负责支付，乙方不得向当事人收取费用。</w:t>
      </w:r>
    </w:p>
    <w:p>
      <w:pPr>
        <w:pStyle w:val="null3"/>
        <w:ind w:firstLine="420"/>
      </w:pPr>
      <w:r>
        <w:rPr>
          <w:sz w:val="24"/>
          <w:color w:val="000000"/>
        </w:rPr>
        <w:t>2.</w:t>
      </w:r>
      <w:r>
        <w:rPr>
          <w:sz w:val="24"/>
          <w:color w:val="000000"/>
        </w:rPr>
        <w:t>拖吊其他事故车辆（指除因甲方查验取证需要暂扣以外的事故车辆）及不影响交通的故障车辆（拖移影响交通的故障车辆按清障服务计费）计费，不属于本项目采购支付范围。如不妨碍交通，当事人可自行联系其他拯救途径，乙方不得强行拖移该车辆。</w:t>
      </w:r>
    </w:p>
    <w:p>
      <w:pPr>
        <w:pStyle w:val="null3"/>
        <w:ind w:firstLine="420"/>
      </w:pPr>
      <w:r>
        <w:rPr>
          <w:sz w:val="24"/>
          <w:color w:val="000000"/>
        </w:rPr>
        <w:t>（二）交通保障服务计费</w:t>
      </w:r>
    </w:p>
    <w:p>
      <w:pPr>
        <w:pStyle w:val="null3"/>
        <w:ind w:firstLine="420"/>
      </w:pPr>
      <w:r>
        <w:rPr>
          <w:sz w:val="24"/>
          <w:color w:val="000000"/>
        </w:rPr>
        <w:t>1.</w:t>
      </w:r>
      <w:r>
        <w:rPr>
          <w:sz w:val="24"/>
          <w:color w:val="000000"/>
        </w:rPr>
        <w:t>交通保障服务按小时计算，以拖车按甲方要求到达指定地点为开始时间，以收到甲方通知结束指令为止。具体以乙方中标单价</w:t>
      </w:r>
      <w:r>
        <w:rPr>
          <w:sz w:val="24"/>
          <w:color w:val="000000"/>
        </w:rPr>
        <w:t>（基准价*中标折扣率）</w:t>
      </w:r>
      <w:r>
        <w:rPr>
          <w:sz w:val="24"/>
          <w:color w:val="000000"/>
        </w:rPr>
        <w:t>及经甲方审核确定的服务时间进行核算。</w:t>
      </w:r>
    </w:p>
    <w:p>
      <w:pPr>
        <w:pStyle w:val="null3"/>
        <w:ind w:firstLine="420"/>
      </w:pPr>
      <w:r>
        <w:rPr>
          <w:sz w:val="24"/>
          <w:color w:val="000000"/>
        </w:rPr>
        <w:t>2.</w:t>
      </w:r>
      <w:r>
        <w:rPr>
          <w:sz w:val="24"/>
          <w:color w:val="000000"/>
        </w:rPr>
        <w:t>在提供交通保障服务期间，备勤拯救车接甲方指令调离岗位实施拖吊作业的，其备勤费用的计算须减去不在备勤岗位的时间，不得重复计算费用。实施的拖吊作业另行计费，计费按“（一）拖吊作业服务计费”的规定执行。</w:t>
      </w:r>
    </w:p>
    <w:p>
      <w:pPr>
        <w:pStyle w:val="null3"/>
        <w:ind w:firstLine="420"/>
      </w:pPr>
      <w:r>
        <w:rPr>
          <w:sz w:val="24"/>
          <w:color w:val="000000"/>
        </w:rPr>
        <w:t>（三）其他清障服务计费</w:t>
      </w:r>
    </w:p>
    <w:p>
      <w:pPr>
        <w:pStyle w:val="null3"/>
        <w:ind w:firstLine="420"/>
      </w:pPr>
      <w:r>
        <w:rPr>
          <w:sz w:val="24"/>
          <w:color w:val="000000"/>
        </w:rPr>
        <w:t>其他清障服务费用按车次计算支付，具体以乙方中标单价</w:t>
      </w:r>
      <w:r>
        <w:rPr>
          <w:sz w:val="24"/>
          <w:color w:val="000000"/>
        </w:rPr>
        <w:t>（基准价*中标折扣率）</w:t>
      </w:r>
      <w:r>
        <w:rPr>
          <w:sz w:val="24"/>
          <w:color w:val="000000"/>
        </w:rPr>
        <w:t>及经甲方审核确定的服务次数进行核算。</w:t>
      </w:r>
    </w:p>
    <w:p>
      <w:pPr>
        <w:pStyle w:val="null3"/>
        <w:ind w:firstLine="420"/>
      </w:pPr>
      <w:r>
        <w:rPr>
          <w:sz w:val="24"/>
          <w:color w:val="000000"/>
        </w:rPr>
        <w:t>（四）空驶计费</w:t>
      </w:r>
    </w:p>
    <w:p>
      <w:pPr>
        <w:pStyle w:val="null3"/>
        <w:ind w:firstLine="420"/>
      </w:pPr>
      <w:r>
        <w:rPr>
          <w:sz w:val="24"/>
          <w:color w:val="000000"/>
        </w:rPr>
        <w:t>每一宗空驶费用结算均需提供对应的甲方中队电台原始登记台账与全球卫星定位系统轨迹作为依据，具体以乙方中标单价</w:t>
      </w:r>
      <w:r>
        <w:rPr>
          <w:sz w:val="24"/>
          <w:color w:val="000000"/>
        </w:rPr>
        <w:t>（基准价*中标折扣率）及经采购人审核确定的服务台数进行核算</w:t>
      </w:r>
      <w:r>
        <w:rPr>
          <w:sz w:val="24"/>
          <w:color w:val="000000"/>
        </w:rPr>
        <w:t>。</w:t>
      </w:r>
    </w:p>
    <w:p>
      <w:pPr>
        <w:pStyle w:val="null3"/>
        <w:ind w:firstLine="420"/>
      </w:pPr>
      <w:r>
        <w:rPr>
          <w:sz w:val="24"/>
          <w:color w:val="000000"/>
        </w:rPr>
        <w:t>（五）支付程序</w:t>
      </w:r>
    </w:p>
    <w:p>
      <w:pPr>
        <w:pStyle w:val="null3"/>
        <w:ind w:firstLine="420"/>
      </w:pPr>
      <w:r>
        <w:rPr>
          <w:sz w:val="24"/>
          <w:color w:val="000000"/>
        </w:rPr>
        <w:t>1</w:t>
      </w:r>
      <w:r>
        <w:rPr>
          <w:sz w:val="24"/>
          <w:color w:val="000000"/>
        </w:rPr>
        <w:t>、实际服务费按月结算，每月支付一次。</w:t>
      </w:r>
    </w:p>
    <w:p>
      <w:pPr>
        <w:pStyle w:val="null3"/>
        <w:ind w:firstLine="420"/>
      </w:pPr>
      <w:r>
        <w:rPr>
          <w:sz w:val="24"/>
          <w:color w:val="000000"/>
        </w:rPr>
        <w:t>2</w:t>
      </w:r>
      <w:r>
        <w:rPr>
          <w:sz w:val="24"/>
          <w:color w:val="000000"/>
        </w:rPr>
        <w:t>、中标供应商于每月</w:t>
      </w:r>
      <w:r>
        <w:rPr>
          <w:sz w:val="24"/>
          <w:color w:val="000000"/>
        </w:rPr>
        <w:t>10</w:t>
      </w:r>
      <w:r>
        <w:rPr>
          <w:sz w:val="24"/>
          <w:color w:val="000000"/>
        </w:rPr>
        <w:t>日前向甲方提交上月服务明细清单（包括车辆拖吊服务汇总、其他服务汇总），甲方应在</w:t>
      </w:r>
      <w:r>
        <w:rPr>
          <w:sz w:val="24"/>
          <w:color w:val="000000"/>
        </w:rPr>
        <w:t>10</w:t>
      </w:r>
      <w:r>
        <w:rPr>
          <w:sz w:val="24"/>
          <w:color w:val="000000"/>
        </w:rPr>
        <w:t>个工作日内对服务清单完成审核。</w:t>
      </w:r>
    </w:p>
    <w:p>
      <w:pPr>
        <w:pStyle w:val="null3"/>
        <w:ind w:firstLine="420"/>
      </w:pPr>
      <w:r>
        <w:rPr>
          <w:sz w:val="24"/>
          <w:color w:val="000000"/>
        </w:rPr>
        <w:t>3</w:t>
      </w:r>
      <w:r>
        <w:rPr>
          <w:sz w:val="24"/>
          <w:color w:val="000000"/>
        </w:rPr>
        <w:t>、</w:t>
      </w:r>
      <w:r>
        <w:rPr>
          <w:sz w:val="24"/>
          <w:color w:val="000000"/>
        </w:rPr>
        <w:t>根据每月实际作业量、考评奖惩办法及考评结果情况经双方审核确认无误后</w:t>
      </w:r>
      <w:r>
        <w:rPr>
          <w:sz w:val="24"/>
          <w:color w:val="000000"/>
        </w:rPr>
        <w:t>，得出每月的服务费支付金额，中标供应商应于</w:t>
      </w:r>
      <w:r>
        <w:rPr>
          <w:sz w:val="24"/>
          <w:color w:val="000000"/>
        </w:rPr>
        <w:t>5</w:t>
      </w:r>
      <w:r>
        <w:rPr>
          <w:sz w:val="24"/>
          <w:color w:val="000000"/>
        </w:rPr>
        <w:t>个工作日内向甲方申请付款，并将上月的服务汇总资料及等额的服务发票交给甲方，甲方在接到供应商递交的支付申请材料后在</w:t>
      </w:r>
      <w:r>
        <w:rPr>
          <w:sz w:val="24"/>
          <w:color w:val="000000"/>
        </w:rPr>
        <w:t>5</w:t>
      </w:r>
      <w:r>
        <w:rPr>
          <w:sz w:val="24"/>
          <w:color w:val="000000"/>
        </w:rPr>
        <w:t>个工作日内办理上月服务的财政支付手续。</w:t>
      </w:r>
    </w:p>
    <w:p>
      <w:pPr>
        <w:pStyle w:val="null3"/>
        <w:ind w:firstLine="420"/>
        <w:jc w:val="both"/>
      </w:pPr>
      <w:r>
        <w:rPr>
          <w:sz w:val="24"/>
          <w:color w:val="000000"/>
        </w:rPr>
        <w:t>4</w:t>
      </w:r>
      <w:r>
        <w:rPr>
          <w:sz w:val="24"/>
          <w:color w:val="000000"/>
        </w:rPr>
        <w:t>、因甲方使用的是财政资金，甲方在前款规定的办理财政集中支付手续的时间为向政府采购支付部门提出办理财政支付申请手续的时间（不含政府财政支付部门审核的时间），甲方在规定时间内提出向合同约定的收款单位付款的申请手续后即视为甲方已经按期履约。由于财政资金拨款不到位而导致甲方逾期付款的，甲方不承担违约责任。</w:t>
      </w:r>
    </w:p>
    <w:p>
      <w:pPr>
        <w:pStyle w:val="null3"/>
        <w:ind w:firstLine="422"/>
        <w:jc w:val="both"/>
      </w:pPr>
      <w:r>
        <w:rPr>
          <w:sz w:val="24"/>
          <w:b/>
        </w:rPr>
        <w:t>六、服务期限</w:t>
      </w:r>
    </w:p>
    <w:p>
      <w:pPr>
        <w:pStyle w:val="null3"/>
        <w:ind w:firstLine="420"/>
        <w:jc w:val="both"/>
      </w:pPr>
      <w:r>
        <w:rPr>
          <w:sz w:val="24"/>
        </w:rPr>
        <w:t>合同签订起两年，或合同结算金额达到本采购包预算金额时，以上述先到者为准。</w:t>
      </w:r>
    </w:p>
    <w:p>
      <w:pPr>
        <w:pStyle w:val="null3"/>
        <w:ind w:firstLine="422"/>
        <w:jc w:val="both"/>
      </w:pPr>
      <w:r>
        <w:rPr>
          <w:sz w:val="24"/>
          <w:b/>
        </w:rPr>
        <w:t>七、合同金额及结算要求</w:t>
      </w:r>
    </w:p>
    <w:p>
      <w:pPr>
        <w:pStyle w:val="null3"/>
        <w:ind w:firstLine="420"/>
        <w:jc w:val="both"/>
      </w:pPr>
      <w:r>
        <w:rPr>
          <w:sz w:val="24"/>
        </w:rPr>
        <w:t>合同金额为（大写）：_</w:t>
      </w:r>
      <w:r>
        <w:rPr>
          <w:sz w:val="24"/>
          <w:u w:val="single"/>
        </w:rPr>
        <w:t xml:space="preserve">            </w:t>
      </w:r>
      <w:r>
        <w:rPr>
          <w:sz w:val="24"/>
        </w:rPr>
        <w:t>万元整（￥_</w:t>
      </w:r>
      <w:r>
        <w:rPr>
          <w:sz w:val="24"/>
          <w:u w:val="single"/>
        </w:rPr>
        <w:t xml:space="preserve">            </w:t>
      </w:r>
      <w:r>
        <w:rPr>
          <w:sz w:val="24"/>
        </w:rPr>
        <w:t>元）。折扣率：</w:t>
      </w:r>
      <w:r>
        <w:rPr>
          <w:sz w:val="24"/>
          <w:u w:val="single"/>
        </w:rPr>
        <w:t xml:space="preserve">    </w:t>
      </w:r>
      <w:r>
        <w:rPr>
          <w:sz w:val="24"/>
        </w:rPr>
        <w:t>%</w:t>
      </w:r>
    </w:p>
    <w:p>
      <w:pPr>
        <w:pStyle w:val="null3"/>
        <w:ind w:firstLine="420"/>
      </w:pPr>
      <w:r>
        <w:rPr>
          <w:sz w:val="24"/>
          <w:color w:val="000000"/>
        </w:rPr>
        <w:t>包含拖吊作业车辆的购置（或租赁）费、油料费、维修费、路桥费（含高速公路过路费）、保险费、税费以及作业人员工资、保险费等所有费用。</w:t>
      </w:r>
    </w:p>
    <w:p>
      <w:pPr>
        <w:pStyle w:val="null3"/>
        <w:ind w:firstLine="420"/>
      </w:pPr>
      <w:r>
        <w:rPr>
          <w:sz w:val="24"/>
          <w:color w:val="000000"/>
        </w:rPr>
        <w:t>拖吊作业服务、交通</w:t>
      </w:r>
      <w:r>
        <w:rPr>
          <w:sz w:val="24"/>
          <w:color w:val="000000"/>
        </w:rPr>
        <w:t>保障</w:t>
      </w:r>
      <w:r>
        <w:rPr>
          <w:sz w:val="24"/>
          <w:color w:val="000000"/>
        </w:rPr>
        <w:t>服务、其他清障作业、空驶的服务基准价如下（单位：元/辆）：</w:t>
      </w:r>
    </w:p>
    <w:p>
      <w:pPr>
        <w:pStyle w:val="null3"/>
        <w:ind w:firstLine="420"/>
        <w:jc w:val="center"/>
      </w:pPr>
      <w:r>
        <w:rPr>
          <w:sz w:val="24"/>
          <w:color w:val="000000"/>
        </w:rPr>
        <w:t>表3：拖吊作业基准价明细表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02"/>
        <w:gridCol w:w="3373"/>
        <w:gridCol w:w="1293"/>
        <w:gridCol w:w="1828"/>
        <w:gridCol w:w="1010"/>
      </w:tblGrid>
      <w:tr>
        <w:tc>
          <w:tcPr>
            <w:tcW w:type="dxa" w:w="8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33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服务类别</w:t>
            </w:r>
          </w:p>
        </w:tc>
        <w:tc>
          <w:tcPr>
            <w:tcW w:type="dxa" w:w="4131"/>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基准价</w:t>
            </w:r>
          </w:p>
        </w:tc>
      </w:tr>
      <w:tr>
        <w:tc>
          <w:tcPr>
            <w:tcW w:type="dxa" w:w="802"/>
            <w:vMerge/>
            <w:tcBorders>
              <w:top w:val="single" w:color="000000" w:sz="4"/>
              <w:left w:val="single" w:color="000000" w:sz="4"/>
              <w:bottom w:val="single" w:color="000000" w:sz="4"/>
              <w:right w:val="single" w:color="000000" w:sz="4"/>
            </w:tcBorders>
          </w:tcPr>
          <w:p/>
        </w:tc>
        <w:tc>
          <w:tcPr>
            <w:tcW w:type="dxa" w:w="3373"/>
            <w:vMerge/>
            <w:tcBorders>
              <w:top w:val="singl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普通公路、城市道路交通违法车辆（拖车基准价）</w:t>
            </w:r>
          </w:p>
        </w:tc>
        <w:tc>
          <w:tcPr>
            <w:tcW w:type="dxa" w:w="1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普通公路、城市道路交警部门查验取证需要暂扣的事故车辆（拖车基准价）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吊车基准价</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w:t>
            </w:r>
          </w:p>
        </w:tc>
        <w:tc>
          <w:tcPr>
            <w:tcW w:type="dxa" w:w="750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拖吊作业服务</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无动力装置的二轮车（包括自行车、手推车、手拖车、平板车、大板车、无电池的电动车等）</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有动力装置的二轮车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三轮车（包括三轮摩托车、三轮电动车、人力三轮车、加装动力装置的三轮车、黄包车及残疾人专用机动车）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r>
              <w:rPr>
                <w:sz w:val="21"/>
                <w:color w:val="000000"/>
              </w:rPr>
              <w:t>座以下（含7座）客车、2吨（含2吨）以下货车及四轮（含四轮）以上载人电瓶车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410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r>
              <w:rPr>
                <w:sz w:val="21"/>
                <w:color w:val="000000"/>
              </w:rPr>
              <w:t>座以上至19座（含19座）以下客车、2吨以上至5吨（含5吨）货车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1120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r>
              <w:rPr>
                <w:sz w:val="21"/>
                <w:color w:val="000000"/>
              </w:rPr>
              <w:t>座以上至39座（含39座）以下客车、5吨以上至10吨（含10吨）货车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540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590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1440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w:t>
            </w:r>
            <w:r>
              <w:rPr>
                <w:sz w:val="21"/>
                <w:color w:val="000000"/>
              </w:rPr>
              <w:t>座（含40座）以上客车、10吨以上至15吨（含15吨）货车、20英尺集装箱车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630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680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r>
              <w:rPr>
                <w:sz w:val="21"/>
                <w:color w:val="000000"/>
              </w:rPr>
              <w:t>吨以上至35吨（含35吨）货车、40英尺集装箱车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770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35</w:t>
            </w:r>
            <w:r>
              <w:rPr>
                <w:sz w:val="21"/>
                <w:color w:val="000000"/>
              </w:rPr>
              <w:t>吨以上货车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810</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2</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交通保障服务</w:t>
            </w:r>
          </w:p>
        </w:tc>
        <w:tc>
          <w:tcPr>
            <w:tcW w:type="dxa" w:w="413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r>
              <w:rPr>
                <w:sz w:val="21"/>
                <w:color w:val="000000"/>
              </w:rPr>
              <w:t>元/小时·台</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3</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其他清障工作</w:t>
            </w:r>
          </w:p>
        </w:tc>
        <w:tc>
          <w:tcPr>
            <w:tcW w:type="dxa" w:w="413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180</w:t>
            </w:r>
            <w:r>
              <w:rPr>
                <w:sz w:val="21"/>
                <w:color w:val="000000"/>
              </w:rPr>
              <w:t>元/次</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4</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空驶</w:t>
            </w:r>
          </w:p>
        </w:tc>
        <w:tc>
          <w:tcPr>
            <w:tcW w:type="dxa" w:w="413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w:t>
            </w:r>
            <w:r>
              <w:rPr>
                <w:sz w:val="21"/>
                <w:color w:val="000000"/>
              </w:rPr>
              <w:t>元/台</w:t>
            </w:r>
          </w:p>
        </w:tc>
      </w:tr>
    </w:tbl>
    <w:p>
      <w:pPr>
        <w:pStyle w:val="null3"/>
        <w:ind w:firstLine="420"/>
      </w:pPr>
      <w:r>
        <w:rPr>
          <w:sz w:val="24"/>
          <w:color w:val="000000"/>
        </w:rPr>
        <w:t>（二）结算要求</w:t>
      </w:r>
    </w:p>
    <w:p>
      <w:pPr>
        <w:pStyle w:val="null3"/>
        <w:ind w:firstLine="420"/>
      </w:pPr>
      <w:r>
        <w:rPr>
          <w:sz w:val="24"/>
          <w:color w:val="000000"/>
        </w:rPr>
        <w:t>1.</w:t>
      </w:r>
      <w:r>
        <w:rPr>
          <w:sz w:val="24"/>
          <w:color w:val="000000"/>
        </w:rPr>
        <w:t>关于拖吊作业服务，拖吊作业服务实付价＝基准价×中标折扣率，原则如下：</w:t>
      </w:r>
    </w:p>
    <w:p>
      <w:pPr>
        <w:pStyle w:val="null3"/>
        <w:ind w:firstLine="420"/>
      </w:pPr>
      <w:r>
        <w:rPr>
          <w:sz w:val="24"/>
          <w:color w:val="000000"/>
        </w:rPr>
        <w:t>（1）被拖客车凭行驶证核定的座位数进行分类，被拖货车凭行驶证核定的核定载质量进行分类结算。</w:t>
      </w:r>
    </w:p>
    <w:p>
      <w:pPr>
        <w:pStyle w:val="null3"/>
        <w:ind w:firstLine="420"/>
      </w:pPr>
      <w:r>
        <w:rPr>
          <w:sz w:val="24"/>
          <w:color w:val="000000"/>
        </w:rPr>
        <w:t>（2）对客车、货车以外无核定载质量的其它类型机动车，按行驶证（未注册登记按整车出厂合格证）核定的整备质量，参考货车结算标准进行结算。如依据该规则，仍无法归类计费档次，按照“7座以下（含7座）客车、2吨（含2吨）以下货车及四轮（含四轮）以上载人电瓶车”档次计算费用。</w:t>
      </w:r>
    </w:p>
    <w:p>
      <w:pPr>
        <w:pStyle w:val="null3"/>
        <w:ind w:firstLine="420"/>
      </w:pPr>
      <w:r>
        <w:rPr>
          <w:sz w:val="24"/>
          <w:color w:val="000000"/>
        </w:rPr>
        <w:t>2.</w:t>
      </w:r>
      <w:r>
        <w:rPr>
          <w:sz w:val="24"/>
          <w:color w:val="000000"/>
        </w:rPr>
        <w:t>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pPr>
        <w:pStyle w:val="null3"/>
        <w:ind w:firstLine="420"/>
      </w:pPr>
      <w:r>
        <w:rPr>
          <w:sz w:val="24"/>
          <w:color w:val="000000"/>
        </w:rPr>
        <w:t>3.</w:t>
      </w:r>
      <w:r>
        <w:rPr>
          <w:sz w:val="24"/>
          <w:color w:val="000000"/>
        </w:rPr>
        <w:t>关于协助大队异地蹲点伏击，可参照专项整治备勤的标准报账；协助将涉案车辆从异地押送回穗扣留或押送回大队营区待查，可参照查扣同类型车辆入场的标准报账。</w:t>
      </w:r>
    </w:p>
    <w:p>
      <w:pPr>
        <w:pStyle w:val="null3"/>
        <w:ind w:firstLine="420"/>
      </w:pPr>
      <w:r>
        <w:rPr>
          <w:sz w:val="24"/>
          <w:color w:val="000000"/>
        </w:rPr>
        <w:t>4.</w:t>
      </w:r>
      <w:r>
        <w:rPr>
          <w:sz w:val="24"/>
          <w:color w:val="000000"/>
        </w:rPr>
        <w:t>交通保障服务的报价不分车型，按每台拯救车每参加</w:t>
      </w:r>
      <w:r>
        <w:rPr>
          <w:sz w:val="24"/>
          <w:color w:val="000000"/>
        </w:rPr>
        <w:t>1</w:t>
      </w:r>
      <w:r>
        <w:rPr>
          <w:sz w:val="24"/>
          <w:color w:val="000000"/>
        </w:rPr>
        <w:t>小时的备勤（含常态化高峰期备勤、警保卫工作备勤、交通整治备勤、突发事件处置备勤等）以折扣率进行报价。基准价为</w:t>
      </w:r>
      <w:r>
        <w:rPr>
          <w:sz w:val="24"/>
          <w:color w:val="000000"/>
        </w:rPr>
        <w:t>60</w:t>
      </w:r>
      <w:r>
        <w:rPr>
          <w:sz w:val="24"/>
          <w:color w:val="000000"/>
        </w:rPr>
        <w:t>元</w:t>
      </w:r>
      <w:r>
        <w:rPr>
          <w:sz w:val="24"/>
          <w:color w:val="000000"/>
        </w:rPr>
        <w:t>/</w:t>
      </w:r>
      <w:r>
        <w:rPr>
          <w:sz w:val="24"/>
          <w:color w:val="000000"/>
        </w:rPr>
        <w:t>小时</w:t>
      </w:r>
      <w:r>
        <w:rPr>
          <w:sz w:val="24"/>
          <w:color w:val="000000"/>
        </w:rPr>
        <w:t>/</w:t>
      </w:r>
      <w:r>
        <w:rPr>
          <w:sz w:val="24"/>
          <w:color w:val="000000"/>
        </w:rPr>
        <w:t>台，甲方实付价＝基准价×中标折扣率。</w:t>
      </w:r>
    </w:p>
    <w:p>
      <w:pPr>
        <w:pStyle w:val="null3"/>
        <w:ind w:firstLine="420"/>
      </w:pPr>
      <w:r>
        <w:rPr>
          <w:sz w:val="24"/>
          <w:color w:val="000000"/>
        </w:rPr>
        <w:t>5.</w:t>
      </w:r>
      <w:r>
        <w:rPr>
          <w:sz w:val="24"/>
          <w:color w:val="000000"/>
        </w:rPr>
        <w:t>乙方从事甲方指定的其他清障工作，以出车车次计算，基准价为</w:t>
      </w:r>
      <w:r>
        <w:rPr>
          <w:sz w:val="24"/>
          <w:color w:val="000000"/>
        </w:rPr>
        <w:t>180</w:t>
      </w:r>
      <w:r>
        <w:rPr>
          <w:sz w:val="24"/>
          <w:color w:val="000000"/>
        </w:rPr>
        <w:t>元</w:t>
      </w:r>
      <w:r>
        <w:rPr>
          <w:sz w:val="24"/>
          <w:color w:val="000000"/>
        </w:rPr>
        <w:t>/</w:t>
      </w:r>
      <w:r>
        <w:rPr>
          <w:sz w:val="24"/>
          <w:color w:val="000000"/>
        </w:rPr>
        <w:t>次</w:t>
      </w:r>
      <w:r>
        <w:rPr>
          <w:sz w:val="24"/>
          <w:color w:val="000000"/>
        </w:rPr>
        <w:t>/</w:t>
      </w:r>
      <w:r>
        <w:rPr>
          <w:sz w:val="24"/>
          <w:color w:val="000000"/>
        </w:rPr>
        <w:t>台，甲方实付价＝基准价×</w:t>
      </w:r>
      <w:r>
        <w:rPr>
          <w:sz w:val="24"/>
          <w:color w:val="000000"/>
        </w:rPr>
        <w:t>中标</w:t>
      </w:r>
      <w:r>
        <w:rPr>
          <w:sz w:val="24"/>
          <w:color w:val="000000"/>
        </w:rPr>
        <w:t>折扣率。</w:t>
      </w:r>
    </w:p>
    <w:p>
      <w:pPr>
        <w:pStyle w:val="null3"/>
        <w:ind w:firstLine="420"/>
      </w:pPr>
      <w:r>
        <w:rPr>
          <w:sz w:val="24"/>
          <w:color w:val="000000"/>
        </w:rPr>
        <w:t>6.</w:t>
      </w:r>
      <w:r>
        <w:rPr>
          <w:sz w:val="24"/>
          <w:color w:val="000000"/>
        </w:rPr>
        <w:t>空驶的报价不分车型，基准价为</w:t>
      </w:r>
      <w:r>
        <w:rPr>
          <w:sz w:val="24"/>
          <w:color w:val="000000"/>
        </w:rPr>
        <w:t>90</w:t>
      </w:r>
      <w:r>
        <w:rPr>
          <w:sz w:val="24"/>
          <w:color w:val="000000"/>
        </w:rPr>
        <w:t>元</w:t>
      </w:r>
      <w:r>
        <w:rPr>
          <w:sz w:val="24"/>
          <w:color w:val="000000"/>
        </w:rPr>
        <w:t>/</w:t>
      </w:r>
      <w:r>
        <w:rPr>
          <w:sz w:val="24"/>
          <w:color w:val="000000"/>
        </w:rPr>
        <w:t>次</w:t>
      </w:r>
      <w:r>
        <w:rPr>
          <w:sz w:val="24"/>
          <w:color w:val="000000"/>
        </w:rPr>
        <w:t>/</w:t>
      </w:r>
      <w:r>
        <w:rPr>
          <w:sz w:val="24"/>
          <w:color w:val="000000"/>
        </w:rPr>
        <w:t>台，甲方实付价＝基准价×</w:t>
      </w:r>
      <w:r>
        <w:rPr>
          <w:sz w:val="24"/>
          <w:color w:val="000000"/>
        </w:rPr>
        <w:t>中标</w:t>
      </w:r>
      <w:r>
        <w:rPr>
          <w:sz w:val="24"/>
          <w:color w:val="000000"/>
        </w:rPr>
        <w:t>折扣率。</w:t>
      </w:r>
    </w:p>
    <w:p>
      <w:pPr>
        <w:pStyle w:val="null3"/>
        <w:ind w:firstLine="420"/>
      </w:pPr>
      <w:r>
        <w:rPr>
          <w:sz w:val="24"/>
          <w:color w:val="000000"/>
        </w:rPr>
        <w:t>7.</w:t>
      </w:r>
      <w:r>
        <w:rPr>
          <w:sz w:val="24"/>
          <w:color w:val="000000"/>
        </w:rPr>
        <w:t>拖车自身的过路费和被拖车辆由暂扣现场至停车场的过路费用由乙方承担（包含在拖吊费用内，不再另外支付）。</w:t>
      </w:r>
    </w:p>
    <w:p>
      <w:pPr>
        <w:pStyle w:val="null3"/>
        <w:ind w:firstLine="420"/>
        <w:jc w:val="both"/>
      </w:pPr>
      <w:r>
        <w:rPr>
          <w:sz w:val="24"/>
          <w:color w:val="000000"/>
        </w:rPr>
        <w:t xml:space="preserve">8. </w:t>
      </w:r>
      <w:r>
        <w:rPr>
          <w:sz w:val="24"/>
          <w:color w:val="000000"/>
        </w:rPr>
        <w:t>如在服务期内涉及违法车辆的转场费用，按拖吊数量和拖吊单价（单价</w:t>
      </w:r>
      <w:r>
        <w:rPr>
          <w:sz w:val="24"/>
          <w:color w:val="000000"/>
        </w:rPr>
        <w:t>=</w:t>
      </w:r>
      <w:r>
        <w:rPr>
          <w:sz w:val="24"/>
          <w:color w:val="000000"/>
        </w:rPr>
        <w:t>拖吊作业服务基准价</w:t>
      </w:r>
      <w:r>
        <w:rPr>
          <w:sz w:val="24"/>
          <w:color w:val="000000"/>
        </w:rPr>
        <w:t>*0.9*</w:t>
      </w:r>
      <w:r>
        <w:rPr>
          <w:sz w:val="24"/>
          <w:color w:val="000000"/>
        </w:rPr>
        <w:t>折扣率）进行结算，但不含在本项目预算金额内。</w:t>
      </w:r>
    </w:p>
    <w:p>
      <w:pPr>
        <w:pStyle w:val="null3"/>
        <w:ind w:firstLine="420"/>
      </w:pPr>
      <w:r>
        <w:rPr>
          <w:sz w:val="24"/>
          <w:color w:val="000000"/>
        </w:rPr>
        <w:t>9.</w:t>
      </w:r>
      <w:r>
        <w:rPr>
          <w:sz w:val="24"/>
          <w:color w:val="000000"/>
        </w:rPr>
        <w:t>根据每月实际作业量、考评奖惩办法及考评结果情况经双方审核确认无误后，得出每月的服务费支付金额，每月的服 务费支付金额不得超过23.625万元/月。如根据每月实际作业量、考评奖惩办法及考评结果情况得出的服务费超过23.625万元，采购人按23.625万元结算及支付，中标人须根据采购需求和合同的要求，完成当月所发生的所有拖吊作业服务、交通保 障服务、其他清障作业及空驶的服务，不得因为结算金额按23.625万元结算而拒绝提供上述服务。如根据每月实际作业量、考评奖惩办法及考 评结果情况得出的服务费未达到23.625万，则根据每月实际作业量、考评奖惩办法及考评结果情况得出的实际服务费支付，当月剩余金额（即23.625万元减去当月实际支付金额）可作为下一个月的金额使用（即下一个月的服务费支付金额不得超过 23.625万元+上一个月的剩余金额），以此类推，但每年最终的结算金额不得超过本采购包每年的预算金额283.5万元。例如2025年1 月份根据实际作业量、考评奖惩办法及考评结果情况得出的服务费金额为26万元，采购人支付给中标人的1月份的服务费金额为23.625万元；2月份根据实际作业量、考评奖惩办法及考评结果情况得出的服务费金额为23万元，采购人支付给中标人2月份的服务费金额为23万元，2月份剩余金额为0.625万元可供3月份使用；3月份根据实际作业量、考评奖惩办法及考评结果情况得出的服务费金额为22万元，采购人支付给中标人3月的服务费金额为22万元，3月份剩余金额为1.625万元，累加2月份剩余金额0.625万元，合计2.25万元可供4月份使用。4月份根据实际作业量、考评奖惩办法及考评结果情况得出的服务费金额为29万元，采购人支付给中标人4月份的服务费金额为25.875万元（每月的最高限额23.625万元+2、3 月份累计剩余金额2.25万元），依此类推，但每年最终的结算金额不得超过本采购包每年的预算金额283.5万元。</w:t>
      </w:r>
    </w:p>
    <w:p>
      <w:pPr>
        <w:pStyle w:val="null3"/>
        <w:ind w:firstLine="422"/>
        <w:jc w:val="both"/>
      </w:pPr>
      <w:r>
        <w:rPr>
          <w:sz w:val="24"/>
          <w:b/>
        </w:rPr>
        <w:t>八、履约保证金</w:t>
      </w:r>
    </w:p>
    <w:p>
      <w:pPr>
        <w:pStyle w:val="null3"/>
        <w:ind w:firstLine="420"/>
        <w:jc w:val="both"/>
      </w:pPr>
      <w:r>
        <w:rPr>
          <w:sz w:val="24"/>
        </w:rPr>
        <w:t>项目合同签订后30天内，乙方须向甲方提交履约保证金，金额为合同价的3%，履约保证金不可撤销、无条件的《银行履约保函》的形式提交。该银行履约保函须为注册在中国、营业地在广州的银行出具的、无条件的、不可撤销的，保函有效期至项目质保期满之日起30天后自动失效。下列任何一种情况发生时，甲方有权没收银行履约保函中的履约保证金：1、有明显证据证明乙方未履行本合同约定的；2、乙方有明显过错致甲方造成损失的。</w:t>
      </w:r>
    </w:p>
    <w:p>
      <w:pPr>
        <w:pStyle w:val="null3"/>
        <w:ind w:firstLine="422"/>
        <w:jc w:val="both"/>
      </w:pPr>
      <w:r>
        <w:rPr>
          <w:sz w:val="24"/>
          <w:b/>
        </w:rPr>
        <w:t>九、验收要求</w:t>
      </w:r>
    </w:p>
    <w:p>
      <w:pPr>
        <w:pStyle w:val="null3"/>
        <w:ind w:firstLine="420"/>
        <w:jc w:val="both"/>
      </w:pPr>
      <w:r>
        <w:rPr>
          <w:sz w:val="24"/>
        </w:rPr>
        <w:t>服务完成后，以本项目合同及乙方的投标文件为验收依据，验收由甲方组织，乙方配合进行，组织验收并出具项目验收报告。服务或产品若有国家标准按照国家标准验收，若无国家标准按行业标准验收，为在中国境内可依常规安全合法使用，同时符合本次采购约定的服务要求。</w:t>
      </w:r>
    </w:p>
    <w:p>
      <w:pPr>
        <w:pStyle w:val="null3"/>
        <w:ind w:firstLine="422"/>
        <w:jc w:val="left"/>
      </w:pPr>
      <w:r>
        <w:rPr>
          <w:sz w:val="24"/>
          <w:b/>
        </w:rPr>
        <w:t>十、双方权利义务</w:t>
      </w:r>
    </w:p>
    <w:p>
      <w:pPr>
        <w:pStyle w:val="null3"/>
        <w:ind w:firstLine="422"/>
        <w:jc w:val="left"/>
      </w:pPr>
      <w:r>
        <w:rPr>
          <w:sz w:val="24"/>
          <w:b/>
        </w:rPr>
        <w:t>（一）甲方权利义务</w:t>
      </w:r>
    </w:p>
    <w:p>
      <w:pPr>
        <w:pStyle w:val="null3"/>
        <w:ind w:firstLine="420"/>
        <w:jc w:val="left"/>
      </w:pPr>
      <w:r>
        <w:rPr>
          <w:sz w:val="24"/>
        </w:rPr>
        <w:t>1.遇有重特大交通事故、突发事件及交通警（保）卫、勤务工作需要等情况，甲方有权统筹安排，调配乙方跨约定服务区域开展拖车服务。</w:t>
      </w:r>
    </w:p>
    <w:p>
      <w:pPr>
        <w:pStyle w:val="null3"/>
        <w:ind w:firstLine="420"/>
        <w:jc w:val="left"/>
      </w:pPr>
      <w:r>
        <w:rPr>
          <w:sz w:val="24"/>
        </w:rPr>
        <w:t>2.甲方不承担乙方利用服务车辆从事合同约定服务内容以外的活动所导致的后果。</w:t>
      </w:r>
    </w:p>
    <w:p>
      <w:pPr>
        <w:pStyle w:val="null3"/>
        <w:ind w:firstLine="420"/>
        <w:jc w:val="left"/>
      </w:pPr>
      <w:r>
        <w:rPr>
          <w:sz w:val="24"/>
        </w:rPr>
        <w:t>3.按时向区财政申请直接支付服务费用。但如因财政拨款不到位导致甲方逾期付款的，甲方不承担违约责任，乙方也不能向甲方索赔，且此情况不能成为乙方拖延或拒绝提供服务的理由。</w:t>
      </w:r>
    </w:p>
    <w:p>
      <w:pPr>
        <w:pStyle w:val="null3"/>
        <w:ind w:firstLine="420"/>
        <w:jc w:val="left"/>
      </w:pPr>
      <w:r>
        <w:rPr>
          <w:sz w:val="24"/>
        </w:rPr>
        <w:t>4.若上级政府部门对拖车拯救管理有其他规定的，从其规定。</w:t>
      </w:r>
    </w:p>
    <w:p>
      <w:pPr>
        <w:pStyle w:val="null3"/>
        <w:ind w:firstLine="422"/>
        <w:jc w:val="left"/>
      </w:pPr>
      <w:r>
        <w:rPr>
          <w:sz w:val="24"/>
          <w:b/>
        </w:rPr>
        <w:t>（二）乙方权利义务</w:t>
      </w:r>
    </w:p>
    <w:p>
      <w:pPr>
        <w:pStyle w:val="null3"/>
        <w:ind w:firstLine="420"/>
        <w:jc w:val="left"/>
      </w:pPr>
      <w:r>
        <w:rPr>
          <w:sz w:val="24"/>
        </w:rPr>
        <w:t>1.乙方接到中标通知书后10天内向甲方提供《营业执照》和中标通知书复印证件（加盖公章）给甲方备案。</w:t>
      </w:r>
    </w:p>
    <w:p>
      <w:pPr>
        <w:pStyle w:val="null3"/>
        <w:ind w:firstLine="420"/>
        <w:jc w:val="left"/>
      </w:pPr>
      <w:r>
        <w:rPr>
          <w:sz w:val="24"/>
        </w:rPr>
        <w:t>2.乙方接到中标通知书后15天内向甲方提供拖吊车服务的拯救车辆和作业人员的行驶证和驾驶证复印件。</w:t>
      </w:r>
    </w:p>
    <w:p>
      <w:pPr>
        <w:pStyle w:val="null3"/>
        <w:ind w:firstLine="420"/>
        <w:jc w:val="left"/>
      </w:pPr>
      <w:r>
        <w:rPr>
          <w:sz w:val="24"/>
        </w:rPr>
        <w:t>3.车辆为租赁的，乙方须承诺于接到中标通知书15天内提交期限为自中标之日起计不少于2年的车辆租赁合同复印件及车辆行驶证复印件。</w:t>
      </w:r>
    </w:p>
    <w:p>
      <w:pPr>
        <w:pStyle w:val="null3"/>
        <w:ind w:firstLine="420"/>
        <w:jc w:val="left"/>
      </w:pPr>
      <w:r>
        <w:rPr>
          <w:sz w:val="24"/>
        </w:rPr>
        <w:t>4.未按要求提交或提供失效证件的，视为乙方违约，甲方有权追究其相关责任。</w:t>
      </w:r>
    </w:p>
    <w:p>
      <w:pPr>
        <w:pStyle w:val="null3"/>
        <w:ind w:firstLine="420"/>
        <w:jc w:val="left"/>
      </w:pPr>
      <w:r>
        <w:rPr>
          <w:sz w:val="24"/>
        </w:rPr>
        <w:t>5.乙方不得将中标标的转包给他人，违者，甲方有权终止合同，且乙方向甲方偿付合同总额的20%作为赔偿金，因此造成一切损失由乙方承担。</w:t>
      </w:r>
    </w:p>
    <w:p>
      <w:pPr>
        <w:pStyle w:val="null3"/>
        <w:ind w:firstLine="420"/>
        <w:jc w:val="left"/>
      </w:pPr>
      <w:r>
        <w:rPr>
          <w:sz w:val="24"/>
        </w:rPr>
        <w:t>6.台账资料保管要求。乙方应做好各类台账资料的保管（拖吊作业单、暂扣车辆登记明细表、GPS轨迹等），以备核查，并至少保管至项目服务期结束后六个月。</w:t>
      </w:r>
    </w:p>
    <w:p>
      <w:pPr>
        <w:pStyle w:val="null3"/>
        <w:ind w:firstLine="420"/>
        <w:jc w:val="left"/>
      </w:pPr>
      <w:r>
        <w:rPr>
          <w:sz w:val="24"/>
        </w:rPr>
        <w:t>7.服务期限内，乙方发生的各种事故：包括治安、交通、防火等安全案件和违反计划生育、劳资纠纷事件等，均由乙方承担相应责任；乙方的员工在执行本合同约定的工作任务期间或上下班途中发生事故对甲方、第三方造成人身、财产损坏的，或乙方的员工因自身疾病或其他意外原因造成伤亡的，乙方应及时处理，并承担相应的民事责任，甲方对此不承担责任。若因此造成甲方损失的，甲方有权要求乙方赔偿。</w:t>
      </w:r>
    </w:p>
    <w:p>
      <w:pPr>
        <w:pStyle w:val="null3"/>
        <w:ind w:firstLine="420"/>
        <w:jc w:val="left"/>
      </w:pPr>
      <w:r>
        <w:rPr>
          <w:sz w:val="24"/>
        </w:rPr>
        <w:t>8.乙方须完全遵守《中华人民共和国劳动合同法》有关规定和《中华人民共和国妇女权益保障法》中关于“劳动和社会保障权益的”的有关要求。</w:t>
      </w:r>
    </w:p>
    <w:p>
      <w:pPr>
        <w:pStyle w:val="null3"/>
        <w:ind w:firstLine="422"/>
        <w:jc w:val="left"/>
      </w:pPr>
      <w:r>
        <w:rPr>
          <w:sz w:val="24"/>
          <w:b/>
        </w:rPr>
        <w:t>十一、违约条款</w:t>
      </w:r>
    </w:p>
    <w:p>
      <w:pPr>
        <w:pStyle w:val="null3"/>
        <w:ind w:firstLine="420"/>
        <w:jc w:val="left"/>
      </w:pPr>
      <w:r>
        <w:rPr>
          <w:sz w:val="24"/>
        </w:rPr>
        <w:t>（一）因乙方违约导致合同终止的，相关责任和损失由乙方承担，乙方还应当按照合同总额的20%向甲方支付违约金，若不足以弥补甲方损失的，甲方有权就不足部分向乙方追偿。合同履行期间，乙方单方无故终止合同的，乙方还应当按照合同总额的20%向甲方支付违约金。</w:t>
      </w:r>
    </w:p>
    <w:p>
      <w:pPr>
        <w:pStyle w:val="null3"/>
        <w:ind w:firstLine="420"/>
        <w:jc w:val="left"/>
      </w:pPr>
      <w:r>
        <w:rPr>
          <w:sz w:val="24"/>
        </w:rPr>
        <w:t>（二）乙方违规收取当事人交通事故、故障车辆的服务费用，服务期内累计受到3次以上有效投诉，甲方有权终止乙方的交通事故、故障车辆拖车服务资格，无须向乙方承担违约责任，且甲方有权另行聘请第三方提供服务。</w:t>
      </w:r>
    </w:p>
    <w:p>
      <w:pPr>
        <w:pStyle w:val="null3"/>
        <w:ind w:firstLine="420"/>
        <w:jc w:val="left"/>
      </w:pPr>
      <w:r>
        <w:rPr>
          <w:sz w:val="24"/>
        </w:rPr>
        <w:t>（三）合同履行期间，合同一方无正当理由终止合同的，违约方应向守约方支付合同总额20%违约金。违约金不足弥补守约方所受损失的，违约方须承担相应赔偿责任。</w:t>
      </w:r>
    </w:p>
    <w:p>
      <w:pPr>
        <w:pStyle w:val="null3"/>
        <w:ind w:firstLine="420"/>
        <w:jc w:val="left"/>
      </w:pPr>
      <w:r>
        <w:rPr>
          <w:sz w:val="24"/>
        </w:rPr>
        <w:t>（四）因乙方未能按照本合同约定开展服务，经甲方电话、微信或其他书面形式通知仍然绝不改正，可能导致甲方不能开展拖吊车和交通清障服务工作的，甲方有权立即委托第三方公司进行拖吊车服务，费用由乙方承担。如中标方三次出现以上情况，甲方有权立即解除合同，并重新采购新合同单位，双方合同以甲方发出解除通知书时为解除时间点，乙方还应当按照合同总额的20%向甲方支付违约金。</w:t>
      </w:r>
    </w:p>
    <w:p>
      <w:pPr>
        <w:pStyle w:val="null3"/>
        <w:ind w:firstLine="420"/>
        <w:jc w:val="left"/>
      </w:pPr>
      <w:r>
        <w:rPr>
          <w:sz w:val="24"/>
        </w:rPr>
        <w:t>（五）如双方对于是否存在违约或合同是否解除发生争议，双方就相关事宜进行调解或者通过诉讼方式解决。在此过程中，甲方可单方向乙方发出通知暂停或解除合同的通知，该通知发出后，甲方即有权立即委托第三方公司进行拖吊车服务，费用由乙方承担。</w:t>
      </w:r>
    </w:p>
    <w:p>
      <w:pPr>
        <w:pStyle w:val="null3"/>
        <w:ind w:firstLine="420"/>
        <w:jc w:val="left"/>
      </w:pPr>
      <w:r>
        <w:rPr>
          <w:sz w:val="24"/>
        </w:rPr>
        <w:t>（六）乙方未能按本合同规定提供服务，从逾期之日起每日按本合同总价3‰的数额向甲方支付违约金；逾期15天以上（含15天）的，甲方有权终止合同，要求乙方支付合同总额的20%的违约金，并且给甲方造成的经济损失由乙方承担赔偿责任。</w:t>
      </w:r>
    </w:p>
    <w:p>
      <w:pPr>
        <w:pStyle w:val="null3"/>
        <w:ind w:firstLine="420"/>
        <w:jc w:val="left"/>
      </w:pPr>
      <w:r>
        <w:rPr>
          <w:sz w:val="24"/>
        </w:rPr>
        <w:t>（七）未经过甲方书面同意，乙方在任何情况下不得将本合同的全部或者部分分包给第三方，或让第三方借用其资质实际承担本合同的工作。如乙方违反本条约定，则甲方有权选择解除本合同，乙方应向甲方按合同总金额20%支付违约金，造成一切损失由乙方承担。</w:t>
      </w:r>
    </w:p>
    <w:p>
      <w:pPr>
        <w:pStyle w:val="null3"/>
        <w:ind w:firstLine="420"/>
        <w:jc w:val="left"/>
      </w:pPr>
      <w:r>
        <w:rPr>
          <w:sz w:val="24"/>
        </w:rPr>
        <w:t>（八）乙方必须具备履行本合同约定事项的相关资质，并保证在合同期间一直拥有相关资质，否则甲方有权解除合同，要求乙方退还所有已支付费用，并支付合同总额20%的违约金，违约金不足以补偿甲方损失的，乙方应补偿甲方所遭受的损失。</w:t>
      </w:r>
    </w:p>
    <w:p>
      <w:pPr>
        <w:pStyle w:val="null3"/>
        <w:ind w:firstLine="420"/>
        <w:jc w:val="left"/>
      </w:pPr>
      <w:r>
        <w:rPr>
          <w:sz w:val="24"/>
        </w:rPr>
        <w:t>（九）甲方应按照合同规定时限办理服务费用的支付手续，由于财政资金拨款不到位或因乙方原因而导致甲方逾期付款的，甲方不承担违约责任，并且此情况不能成为乙方拒绝提供服务的理由。</w:t>
      </w:r>
    </w:p>
    <w:p>
      <w:pPr>
        <w:pStyle w:val="null3"/>
        <w:ind w:firstLine="420"/>
        <w:jc w:val="left"/>
      </w:pPr>
      <w:r>
        <w:rPr>
          <w:sz w:val="24"/>
        </w:rPr>
        <w:t>（十）合同履行期间，乙方不得杜撰服务项目进行收费、不得故意提供虚假报账材料。否则甲方每发现一次，乙方应向甲方支付当月项目结算总额的20%作为违约金，情节严重的，甲方有权单方解除相应的项目合同，并要求乙方承担相应的赔偿责任。</w:t>
      </w:r>
    </w:p>
    <w:p>
      <w:pPr>
        <w:pStyle w:val="null3"/>
        <w:ind w:firstLine="422"/>
        <w:jc w:val="left"/>
      </w:pPr>
      <w:r>
        <w:rPr>
          <w:sz w:val="24"/>
          <w:b/>
        </w:rPr>
        <w:t>十二、不可抗力</w:t>
      </w:r>
    </w:p>
    <w:p>
      <w:pPr>
        <w:pStyle w:val="null3"/>
        <w:ind w:firstLine="420"/>
        <w:jc w:val="left"/>
      </w:pPr>
      <w:r>
        <w:rPr>
          <w:sz w:val="24"/>
        </w:rPr>
        <w:t>（一）由于不可预见、不可避免、不可克服等不可抗力的原因，一方不能履行约定义务的，应当在不可抗力发生之日起3天内以书面形式通知对方，阐明不可抗力事件的存在。</w:t>
      </w:r>
    </w:p>
    <w:p>
      <w:pPr>
        <w:pStyle w:val="null3"/>
        <w:ind w:firstLine="420"/>
        <w:jc w:val="left"/>
      </w:pPr>
      <w:r>
        <w:rPr>
          <w:sz w:val="24"/>
        </w:rPr>
        <w:t>（二）不可抗力事件发生后，双方应当积极寻求合理的方式履行本合同。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4"/>
          <w:b/>
        </w:rPr>
        <w:t>十三、知识产权归属</w:t>
      </w:r>
    </w:p>
    <w:p>
      <w:pPr>
        <w:pStyle w:val="null3"/>
        <w:ind w:firstLine="420"/>
        <w:jc w:val="left"/>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left"/>
      </w:pPr>
      <w:r>
        <w:rPr>
          <w:sz w:val="24"/>
          <w:b/>
        </w:rPr>
        <w:t>十四、通知与送达</w:t>
      </w:r>
    </w:p>
    <w:p>
      <w:pPr>
        <w:pStyle w:val="null3"/>
        <w:ind w:firstLine="420"/>
        <w:jc w:val="left"/>
      </w:pPr>
      <w:r>
        <w:rPr>
          <w:sz w:val="24"/>
        </w:rPr>
        <w:t>乙方应在本合同的签署栏中如实提供联系地址、联系电话以及电子邮箱等(若联系地址未填写，则以身份证载明的住址或工商登记的住所地为准)，甲方向乙方发出的关于本合同履行及其他相关事宜的通知，可采用当面递交、快递递交、发送电子邮件等方式通知和送达。选择以快递、电子邮件等方式的，自发出之日起第3日视为送达之日。乙方载明的信息发生变更的，应当及时通知甲方，否则因此产生的一切不利后果由乙方自行承担。</w:t>
      </w:r>
    </w:p>
    <w:p>
      <w:pPr>
        <w:pStyle w:val="null3"/>
        <w:ind w:firstLine="422"/>
        <w:jc w:val="left"/>
      </w:pPr>
      <w:r>
        <w:rPr>
          <w:sz w:val="24"/>
          <w:b/>
        </w:rPr>
        <w:t>十五、保密</w:t>
      </w:r>
    </w:p>
    <w:p>
      <w:pPr>
        <w:pStyle w:val="null3"/>
        <w:ind w:firstLine="420"/>
        <w:jc w:val="left"/>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left"/>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除了合同本身之外，上款所列举的任何物件均是甲方的财产。如果甲方有要求，乙方在完成合同后应将这些物件及全部复制件还给甲方。</w:t>
      </w:r>
    </w:p>
    <w:p>
      <w:pPr>
        <w:pStyle w:val="null3"/>
        <w:ind w:firstLine="422"/>
        <w:jc w:val="left"/>
      </w:pPr>
      <w:r>
        <w:rPr>
          <w:sz w:val="24"/>
          <w:b/>
        </w:rPr>
        <w:t>十六、法律适用及争议的解决</w:t>
      </w:r>
    </w:p>
    <w:p>
      <w:pPr>
        <w:pStyle w:val="null3"/>
        <w:ind w:firstLine="420"/>
        <w:jc w:val="left"/>
      </w:pPr>
      <w:r>
        <w:rPr>
          <w:sz w:val="24"/>
          <w:color w:val="000000"/>
        </w:rPr>
        <w:t>（一）本合同的订立、效力、解释、履行和争议的解决，依照中华人民共和国境内的法律、法规解决。</w:t>
      </w:r>
    </w:p>
    <w:p>
      <w:pPr>
        <w:pStyle w:val="null3"/>
        <w:ind w:firstLine="420"/>
        <w:jc w:val="left"/>
      </w:pPr>
      <w:r>
        <w:rPr>
          <w:sz w:val="24"/>
          <w:color w:val="000000"/>
        </w:rPr>
        <w:t>（二）双方因服务质量问题发生争议时，甲方可指定具有资质的独立第三方鉴定机构进行鉴定，鉴定费用由乙方先行垫付。</w:t>
      </w:r>
    </w:p>
    <w:p>
      <w:pPr>
        <w:pStyle w:val="null3"/>
        <w:ind w:firstLine="420"/>
        <w:jc w:val="left"/>
      </w:pPr>
      <w:r>
        <w:rPr>
          <w:sz w:val="24"/>
          <w:color w:val="000000"/>
        </w:rPr>
        <w:t>（三）双方因本合同发生争议的，应尽量通过友好协商的方式解决；协商不成的，任何一方均可通过甲方所在地人民法院诉讼解决。败诉方应当承担胜诉方由此产生的包括但不限于诉讼费、保全费、律师费、差旅费等所有合理费用。在法院审理期间，除提交法院审理的事项外，本合同的其他部分仍继续履行。</w:t>
      </w:r>
    </w:p>
    <w:p>
      <w:pPr>
        <w:pStyle w:val="null3"/>
        <w:ind w:firstLine="422"/>
        <w:jc w:val="left"/>
      </w:pPr>
      <w:r>
        <w:rPr>
          <w:sz w:val="24"/>
          <w:b/>
        </w:rPr>
        <w:t>十七、合同生效及其他</w:t>
      </w:r>
    </w:p>
    <w:p>
      <w:pPr>
        <w:pStyle w:val="null3"/>
        <w:ind w:firstLine="420"/>
        <w:jc w:val="left"/>
      </w:pPr>
      <w:r>
        <w:rPr>
          <w:sz w:val="24"/>
        </w:rPr>
        <w:t>（一）服务期限内，如遇国家重大政策变化，经双方协商，可对本合同的条款进行补充，并以书面形式签订补充协议，补充协议与本合同具有同等法律效力。</w:t>
      </w:r>
    </w:p>
    <w:p>
      <w:pPr>
        <w:pStyle w:val="null3"/>
        <w:ind w:firstLine="420"/>
        <w:jc w:val="left"/>
      </w:pPr>
      <w:r>
        <w:rPr>
          <w:sz w:val="24"/>
        </w:rPr>
        <w:t>（二）本项目中标通知书、招标文件、投标文件及附件均是本合同不可分割的部分，解释的顺序除特别说明外，以文件生成时间在后的为准。</w:t>
      </w:r>
    </w:p>
    <w:p>
      <w:pPr>
        <w:pStyle w:val="null3"/>
        <w:ind w:firstLine="420"/>
        <w:jc w:val="left"/>
      </w:pPr>
      <w:r>
        <w:rPr>
          <w:sz w:val="24"/>
        </w:rPr>
        <w:t>（三）在执行合同过程中，所有经甲乙双方签署确认的文件（包括会议纪要、补充协议、往来信函）即成为本合同的有效组成部分，其生效日期为双方签字盖章确认的日期。</w:t>
      </w:r>
    </w:p>
    <w:p>
      <w:pPr>
        <w:pStyle w:val="null3"/>
        <w:ind w:firstLine="420"/>
        <w:jc w:val="left"/>
      </w:pPr>
      <w:r>
        <w:rPr>
          <w:sz w:val="24"/>
        </w:rPr>
        <w:t>（四）除甲方事先书面同意外，乙方不得部分或全部转让其应履行的合同项下的义务。</w:t>
      </w:r>
    </w:p>
    <w:p>
      <w:pPr>
        <w:pStyle w:val="null3"/>
        <w:ind w:firstLine="420"/>
        <w:jc w:val="left"/>
      </w:pPr>
      <w:r>
        <w:rPr>
          <w:sz w:val="24"/>
        </w:rPr>
        <w:t>（五）本合同自双方签字盖章之日起生效，一式</w:t>
      </w:r>
      <w:r>
        <w:rPr>
          <w:sz w:val="24"/>
          <w:u w:val="single"/>
        </w:rPr>
        <w:t>6</w:t>
      </w:r>
      <w:r>
        <w:rPr>
          <w:sz w:val="24"/>
        </w:rPr>
        <w:t>份，甲方执</w:t>
      </w:r>
      <w:r>
        <w:rPr>
          <w:sz w:val="24"/>
          <w:u w:val="single"/>
        </w:rPr>
        <w:t>4</w:t>
      </w:r>
      <w:r>
        <w:rPr>
          <w:sz w:val="24"/>
        </w:rPr>
        <w:t>份，乙方执</w:t>
      </w:r>
      <w:r>
        <w:rPr>
          <w:sz w:val="24"/>
          <w:u w:val="single"/>
        </w:rPr>
        <w:t>2</w:t>
      </w:r>
      <w:r>
        <w:rPr>
          <w:sz w:val="24"/>
        </w:rPr>
        <w:t>份，均具有同等法律效力。</w:t>
      </w:r>
    </w:p>
    <w:p>
      <w:pPr>
        <w:pStyle w:val="null3"/>
        <w:ind w:firstLine="420"/>
        <w:jc w:val="left"/>
      </w:pPr>
      <w:r>
        <w:rPr/>
        <w:t xml:space="preserve"> </w:t>
      </w:r>
    </w:p>
    <w:p>
      <w:pPr>
        <w:pStyle w:val="null3"/>
        <w:ind w:firstLine="420"/>
        <w:jc w:val="left"/>
      </w:pPr>
      <w:r>
        <w:rPr>
          <w:sz w:val="24"/>
        </w:rPr>
        <w:t>附件1：</w:t>
      </w:r>
      <w:r>
        <w:rPr>
          <w:sz w:val="24"/>
          <w:color w:val="000000"/>
        </w:rPr>
        <w:t>整改通知书</w:t>
      </w:r>
    </w:p>
    <w:p>
      <w:pPr>
        <w:pStyle w:val="null3"/>
        <w:ind w:firstLine="420"/>
        <w:jc w:val="left"/>
      </w:pPr>
      <w:r>
        <w:rPr>
          <w:sz w:val="24"/>
        </w:rPr>
        <w:t>附件2：</w:t>
      </w:r>
      <w:r>
        <w:rPr>
          <w:sz w:val="24"/>
          <w:color w:val="000000"/>
        </w:rPr>
        <w:t>涉案车辆拖吊服务月度考评总表</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center"/>
      </w:pPr>
      <w:r>
        <w:rPr>
          <w:sz w:val="24"/>
          <w:b/>
        </w:rPr>
        <w:t>甲方：                                乙方：</w:t>
      </w:r>
    </w:p>
    <w:p>
      <w:pPr>
        <w:pStyle w:val="null3"/>
        <w:ind w:firstLine="482"/>
        <w:jc w:val="left"/>
      </w:pPr>
      <w:r>
        <w:rPr>
          <w:sz w:val="24"/>
          <w:b/>
        </w:rPr>
        <w:t>法定代表人：                       法定代表人：</w:t>
      </w:r>
    </w:p>
    <w:p>
      <w:pPr>
        <w:pStyle w:val="null3"/>
        <w:ind w:firstLine="482"/>
        <w:jc w:val="left"/>
      </w:pPr>
      <w:r>
        <w:rPr>
          <w:sz w:val="24"/>
          <w:b/>
        </w:rPr>
        <w:t>授权代表：                          授权代表：</w:t>
      </w:r>
    </w:p>
    <w:p>
      <w:pPr>
        <w:pStyle w:val="null3"/>
        <w:ind w:firstLine="482"/>
        <w:jc w:val="left"/>
      </w:pPr>
      <w:r>
        <w:rPr>
          <w:sz w:val="24"/>
          <w:b/>
        </w:rPr>
        <w:t>联系地址：                          联系地址：</w:t>
      </w:r>
    </w:p>
    <w:p>
      <w:pPr>
        <w:pStyle w:val="null3"/>
        <w:ind w:firstLine="422"/>
        <w:jc w:val="left"/>
      </w:pPr>
      <w:r>
        <w:rPr>
          <w:sz w:val="24"/>
          <w:b/>
        </w:rPr>
        <w:t xml:space="preserve">                        </w:t>
      </w:r>
    </w:p>
    <w:p>
      <w:pPr>
        <w:pStyle w:val="null3"/>
        <w:ind w:firstLine="422"/>
        <w:jc w:val="both"/>
      </w:pPr>
      <w:r>
        <w:rPr>
          <w:sz w:val="24"/>
          <w:b/>
          <w:color w:val="000000"/>
        </w:rPr>
        <w:t xml:space="preserve">                                         开户名称：</w:t>
      </w:r>
    </w:p>
    <w:p>
      <w:pPr>
        <w:pStyle w:val="null3"/>
        <w:ind w:firstLine="422"/>
        <w:jc w:val="both"/>
      </w:pPr>
      <w:r>
        <w:rPr>
          <w:sz w:val="24"/>
          <w:b/>
          <w:color w:val="000000"/>
        </w:rPr>
        <w:t xml:space="preserve">                                         银行账号：</w:t>
      </w:r>
    </w:p>
    <w:p>
      <w:pPr>
        <w:pStyle w:val="null3"/>
        <w:ind w:firstLine="422"/>
        <w:jc w:val="both"/>
      </w:pPr>
      <w:r>
        <w:rPr>
          <w:sz w:val="24"/>
          <w:b/>
          <w:color w:val="000000"/>
        </w:rPr>
        <w:t xml:space="preserve">                                         纳税人识别号：</w:t>
      </w:r>
    </w:p>
    <w:p>
      <w:pPr>
        <w:pStyle w:val="null3"/>
        <w:ind w:firstLine="422"/>
        <w:jc w:val="both"/>
      </w:pPr>
      <w:r>
        <w:rPr>
          <w:sz w:val="24"/>
          <w:b/>
          <w:color w:val="000000"/>
        </w:rPr>
        <w:t xml:space="preserve">                                         开</w:t>
      </w:r>
      <w:r>
        <w:rPr>
          <w:sz w:val="24"/>
          <w:b/>
          <w:color w:val="000000"/>
        </w:rPr>
        <w:t>户</w:t>
      </w:r>
      <w:r>
        <w:rPr>
          <w:sz w:val="24"/>
          <w:b/>
          <w:color w:val="000000"/>
        </w:rPr>
        <w:t>行：</w:t>
      </w:r>
    </w:p>
    <w:p>
      <w:pPr>
        <w:pStyle w:val="null3"/>
        <w:ind w:firstLine="420"/>
        <w:jc w:val="left"/>
      </w:pPr>
      <w:r>
        <w:rPr>
          <w:sz w:val="24"/>
          <w:b/>
        </w:rPr>
        <w:t>签订时间：2025年 月 日</w:t>
      </w:r>
      <w:r>
        <w:rPr>
          <w:sz w:val="24"/>
          <w:b/>
        </w:rPr>
        <w:t xml:space="preserve">        </w:t>
      </w:r>
      <w:r>
        <w:rPr>
          <w:sz w:val="24"/>
          <w:b/>
        </w:rPr>
        <w:t>签订时间：2025年 月 日</w:t>
      </w:r>
    </w:p>
    <w:p>
      <w:pPr>
        <w:pStyle w:val="null3"/>
        <w:ind w:firstLine="482"/>
        <w:jc w:val="both"/>
      </w:pPr>
      <w:r>
        <w:rPr>
          <w:sz w:val="24"/>
          <w:b/>
        </w:rPr>
        <w:t>签约地点：</w:t>
      </w:r>
      <w:r>
        <w:rPr>
          <w:sz w:val="24"/>
          <w:b/>
          <w:u w:val="single"/>
        </w:rPr>
        <w:t>广州市增城区</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pPr>
      <w:r>
        <w:rPr>
          <w:sz w:val="28"/>
          <w:b/>
          <w:color w:val="000000"/>
        </w:rPr>
        <w:t>附件</w:t>
      </w:r>
      <w:r>
        <w:rPr>
          <w:sz w:val="28"/>
          <w:b/>
          <w:color w:val="000000"/>
        </w:rPr>
        <w:t>1</w:t>
      </w:r>
      <w:r>
        <w:rPr>
          <w:sz w:val="28"/>
          <w:b/>
          <w:color w:val="000000"/>
        </w:rPr>
        <w:t>：整改通知书</w:t>
      </w:r>
    </w:p>
    <w:tbl>
      <w:tblPr>
        <w:tblW w:w="0" w:type="auto"/>
        <w:tblBorders>
          <w:top w:val="none" w:color="000000" w:sz="4"/>
          <w:left w:val="none" w:color="000000" w:sz="4"/>
          <w:bottom w:val="none" w:color="000000" w:sz="4"/>
          <w:right w:val="none" w:color="000000" w:sz="4"/>
          <w:insideH w:val="none"/>
          <w:insideV w:val="none"/>
        </w:tblBorders>
      </w:tblPr>
      <w:tblGrid>
        <w:gridCol w:w="8223"/>
      </w:tblGrid>
      <w:tr>
        <w:tc>
          <w:tcPr>
            <w:tcW w:type="dxa" w:w="8223"/>
            <w:tcBorders>
              <w:top w:val="double" w:color="000000" w:sz="48"/>
              <w:left w:val="double" w:color="000000" w:sz="48"/>
              <w:bottom w:val="single" w:color="000000" w:sz="4"/>
              <w:right w:val="double" w:color="000000" w:sz="48"/>
            </w:tcBorders>
            <w:tcMar>
              <w:top w:type="dxa" w:w="0"/>
              <w:left w:type="dxa" w:w="105"/>
              <w:bottom w:type="dxa" w:w="0"/>
              <w:right w:type="dxa" w:w="105"/>
            </w:tcMar>
            <w:vAlign w:val="top"/>
          </w:tcPr>
          <w:p>
            <w:pPr>
              <w:pStyle w:val="null3"/>
              <w:jc w:val="both"/>
            </w:pPr>
            <w:r>
              <w:rPr>
                <w:sz w:val="24"/>
                <w:b/>
              </w:rPr>
              <w:t>广州市公安局交警支队增城大队涉案车场拖吊服务项目整改通知书</w:t>
            </w:r>
          </w:p>
          <w:p>
            <w:pPr>
              <w:pStyle w:val="null3"/>
              <w:jc w:val="center"/>
            </w:pPr>
            <w:r>
              <w:rPr>
                <w:sz w:val="24"/>
              </w:rPr>
              <w:t>编号：【</w:t>
            </w:r>
            <w:r>
              <w:rPr>
                <w:sz w:val="21"/>
              </w:rPr>
              <w:t>202X</w:t>
            </w:r>
            <w:r>
              <w:rPr>
                <w:sz w:val="24"/>
              </w:rPr>
              <w:t>】</w:t>
            </w:r>
            <w:r>
              <w:rPr>
                <w:sz w:val="24"/>
              </w:rPr>
              <w:t>202X</w:t>
            </w:r>
            <w:r>
              <w:rPr>
                <w:sz w:val="24"/>
              </w:rPr>
              <w:t>年第</w:t>
            </w:r>
            <w:r>
              <w:rPr>
                <w:sz w:val="24"/>
              </w:rPr>
              <w:t>XXX</w:t>
            </w:r>
            <w:r>
              <w:rPr>
                <w:sz w:val="24"/>
              </w:rPr>
              <w:t>号</w:t>
            </w:r>
          </w:p>
          <w:p>
            <w:pPr>
              <w:pStyle w:val="null3"/>
              <w:jc w:val="both"/>
            </w:pPr>
            <w:r>
              <w:rPr>
                <w:sz w:val="24"/>
              </w:rPr>
              <w:t>XXXXXXXXX</w:t>
            </w:r>
            <w:r>
              <w:rPr>
                <w:sz w:val="24"/>
              </w:rPr>
              <w:t>公司：</w:t>
            </w:r>
          </w:p>
          <w:p>
            <w:pPr>
              <w:pStyle w:val="null3"/>
              <w:ind w:firstLine="480"/>
              <w:jc w:val="both"/>
            </w:pPr>
            <w:r>
              <w:rPr>
                <w:sz w:val="24"/>
              </w:rPr>
              <w:t>你公司于年月日在履行</w:t>
            </w:r>
            <w:r>
              <w:rPr>
                <w:sz w:val="21"/>
                <w:b/>
                <w:u w:val="single"/>
              </w:rPr>
              <w:t xml:space="preserve">                            </w:t>
            </w:r>
            <w:r>
              <w:rPr>
                <w:sz w:val="24"/>
              </w:rPr>
              <w:t>工作中未按照合同约定履行义务，</w:t>
            </w:r>
            <w:r>
              <w:rPr>
                <w:sz w:val="24"/>
                <w:color w:val="000000"/>
              </w:rPr>
              <w:t>出现如下情形</w:t>
            </w:r>
            <w:r>
              <w:rPr>
                <w:sz w:val="24"/>
              </w:rPr>
              <w:t>：</w:t>
            </w:r>
          </w:p>
          <w:p>
            <w:pPr>
              <w:pStyle w:val="null3"/>
              <w:ind w:firstLine="420"/>
              <w:jc w:val="both"/>
            </w:pPr>
            <w:r>
              <w:rPr>
                <w:sz w:val="24"/>
              </w:rPr>
              <w:t>特通知你公司，依据《服务项目合同书》第</w:t>
            </w:r>
            <w:r>
              <w:rPr>
                <w:sz w:val="24"/>
              </w:rPr>
              <w:t>X</w:t>
            </w:r>
            <w:r>
              <w:rPr>
                <w:sz w:val="24"/>
              </w:rPr>
              <w:t>条第</w:t>
            </w:r>
            <w:r>
              <w:rPr>
                <w:sz w:val="24"/>
              </w:rPr>
              <w:t xml:space="preserve">X </w:t>
            </w:r>
            <w:r>
              <w:rPr>
                <w:sz w:val="24"/>
              </w:rPr>
              <w:t>款第</w:t>
            </w:r>
            <w:r>
              <w:rPr>
                <w:sz w:val="24"/>
              </w:rPr>
              <w:t>X</w:t>
            </w:r>
            <w:r>
              <w:rPr>
                <w:sz w:val="24"/>
              </w:rPr>
              <w:t>项的规定，请于年月日前；将整改结果函告我单位。逾期不改，造成后果将根据合同约定扣分及扣款，并将依法追究相应责任。</w:t>
            </w:r>
          </w:p>
          <w:p>
            <w:pPr>
              <w:pStyle w:val="null3"/>
              <w:ind w:firstLine="480"/>
              <w:jc w:val="both"/>
            </w:pPr>
            <w:r>
              <w:rPr>
                <w:sz w:val="24"/>
              </w:rPr>
              <w:t>（盖章）</w:t>
            </w:r>
          </w:p>
          <w:p>
            <w:pPr>
              <w:pStyle w:val="null3"/>
              <w:jc w:val="center"/>
            </w:pPr>
            <w:r>
              <w:rPr>
                <w:sz w:val="24"/>
              </w:rPr>
              <w:t>年月日</w:t>
            </w:r>
          </w:p>
          <w:p>
            <w:pPr>
              <w:pStyle w:val="null3"/>
              <w:jc w:val="center"/>
            </w:pPr>
            <w:r>
              <w:rPr>
                <w:sz w:val="24"/>
              </w:rPr>
              <w:t>（联系人：</w:t>
            </w:r>
            <w:r>
              <w:rPr>
                <w:sz w:val="24"/>
              </w:rPr>
              <w:t>XXX</w:t>
            </w:r>
            <w:r>
              <w:rPr>
                <w:sz w:val="24"/>
              </w:rPr>
              <w:t>，联系电话：</w:t>
            </w:r>
            <w:r>
              <w:rPr>
                <w:sz w:val="24"/>
              </w:rPr>
              <w:t>XXXXXXXXX</w:t>
            </w:r>
            <w:r>
              <w:rPr>
                <w:sz w:val="24"/>
              </w:rPr>
              <w:t>）</w:t>
            </w:r>
          </w:p>
        </w:tc>
      </w:tr>
      <w:tr>
        <w:tc>
          <w:tcPr>
            <w:tcW w:type="dxa" w:w="8223"/>
            <w:tcBorders>
              <w:top w:val="none" w:color="000000" w:sz="4"/>
              <w:left w:val="double" w:color="000000" w:sz="48"/>
              <w:bottom w:val="double" w:color="000000" w:sz="48"/>
              <w:right w:val="double" w:color="000000" w:sz="48"/>
            </w:tcBorders>
            <w:tcMar>
              <w:top w:type="dxa" w:w="0"/>
              <w:left w:type="dxa" w:w="105"/>
              <w:bottom w:type="dxa" w:w="0"/>
              <w:right w:type="dxa" w:w="105"/>
            </w:tcMar>
            <w:vAlign w:val="top"/>
          </w:tcPr>
          <w:p>
            <w:pPr>
              <w:pStyle w:val="null3"/>
              <w:jc w:val="both"/>
            </w:pPr>
            <w:r>
              <w:rPr>
                <w:sz w:val="24"/>
              </w:rPr>
              <w:t>被通知公司负责人或委托人签收：</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附件2：</w:t>
      </w:r>
      <w:r>
        <w:rPr>
          <w:sz w:val="24"/>
          <w:b/>
          <w:color w:val="000000"/>
        </w:rPr>
        <w:t>涉案车辆拖吊服务</w:t>
      </w:r>
      <w:r>
        <w:rPr>
          <w:sz w:val="24"/>
          <w:b/>
          <w:color w:val="000000"/>
        </w:rPr>
        <w:t>月度考评总表</w:t>
      </w:r>
    </w:p>
    <w:p>
      <w:pPr>
        <w:pStyle w:val="null3"/>
        <w:jc w:val="center"/>
      </w:pPr>
      <w:r>
        <w:rPr>
          <w:sz w:val="24"/>
          <w:b/>
          <w:color w:val="000000"/>
        </w:rPr>
        <w:t>涉案车辆</w:t>
      </w:r>
      <w:r>
        <w:rPr>
          <w:sz w:val="24"/>
          <w:b/>
          <w:color w:val="000000"/>
        </w:rPr>
        <w:t>拖吊服务月度考评总表</w:t>
      </w:r>
    </w:p>
    <w:p>
      <w:pPr>
        <w:pStyle w:val="null3"/>
        <w:jc w:val="center"/>
      </w:pPr>
      <w:r>
        <w:rPr>
          <w:sz w:val="24"/>
          <w:b/>
          <w:color w:val="000000"/>
        </w:rPr>
        <w:t xml:space="preserve">                                     （202  年  月）</w:t>
      </w:r>
    </w:p>
    <w:p>
      <w:pPr>
        <w:pStyle w:val="null3"/>
      </w:pPr>
      <w:r>
        <w:rPr>
          <w:sz w:val="24"/>
          <w:color w:val="000000"/>
        </w:rPr>
        <w:t>单位（盖章）：</w:t>
      </w:r>
    </w:p>
    <w:tbl>
      <w:tblPr>
        <w:tblW w:w="0" w:type="auto"/>
        <w:tblInd w:type="dxa" w:w="90"/>
        <w:tblBorders>
          <w:top w:val="single"/>
          <w:left w:val="single"/>
          <w:bottom w:val="single"/>
          <w:right w:val="single"/>
          <w:insideH w:val="single"/>
          <w:insideV w:val="single"/>
        </w:tblBorders>
      </w:tblPr>
      <w:tblGrid>
        <w:gridCol w:w="1797"/>
        <w:gridCol w:w="553"/>
        <w:gridCol w:w="553"/>
        <w:gridCol w:w="553"/>
        <w:gridCol w:w="553"/>
        <w:gridCol w:w="553"/>
        <w:gridCol w:w="553"/>
        <w:gridCol w:w="553"/>
        <w:gridCol w:w="2557"/>
      </w:tblGrid>
      <w:tr>
        <w:tc>
          <w:tcPr>
            <w:tcW w:type="dxa" w:w="2903"/>
            <w:gridSpan w:val="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t xml:space="preserve"> </w:t>
            </w: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2557"/>
            <w:tcBorders>
              <w:top w:val="none" w:color="000000" w:sz="4"/>
              <w:left w:val="none" w:color="000000" w:sz="4"/>
              <w:bottom w:val="single" w:color="000000" w:sz="4"/>
              <w:right w:val="none" w:color="000000" w:sz="4"/>
            </w:tcBorders>
            <w:tcMar>
              <w:top w:type="dxa" w:w="0"/>
              <w:left w:type="dxa" w:w="105"/>
              <w:bottom w:type="dxa" w:w="0"/>
              <w:right w:type="dxa" w:w="105"/>
            </w:tcMar>
          </w:tcPr>
          <w:p/>
        </w:tc>
      </w:tr>
      <w:tr>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扣分项目</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总扣分数（分）</w:t>
            </w:r>
          </w:p>
        </w:tc>
      </w:tr>
      <w:tr>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拖吊服务</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r>
      <w:tr>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拖吊项目扣分数（分）</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2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r>
      <w:tr>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得分：    分   （100-总扣分数）</w:t>
            </w:r>
          </w:p>
        </w:tc>
        <w:tc>
          <w:tcPr>
            <w:tcW w:type="dxa" w:w="642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附证件材料：  份。</w:t>
            </w:r>
          </w:p>
          <w:p>
            <w:pPr>
              <w:pStyle w:val="null3"/>
              <w:jc w:val="left"/>
            </w:pPr>
            <w:r>
              <w:rPr>
                <w:sz w:val="24"/>
                <w:color w:val="000000"/>
              </w:rPr>
              <w:t>1、扣分需要提交证据材料，如照片或书面材料等；</w:t>
            </w:r>
          </w:p>
          <w:p>
            <w:pPr>
              <w:pStyle w:val="null3"/>
              <w:jc w:val="left"/>
            </w:pPr>
            <w:r>
              <w:rPr>
                <w:sz w:val="24"/>
                <w:color w:val="000000"/>
              </w:rPr>
              <w:t>2、扣分必须是证据充分。</w:t>
            </w:r>
          </w:p>
        </w:tc>
      </w:tr>
      <w:tr>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备注</w:t>
            </w:r>
          </w:p>
        </w:tc>
        <w:tc>
          <w:tcPr>
            <w:tcW w:type="dxa" w:w="6428"/>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该考评表按涉案车辆拖吊服务进行评分，涉及扣分项目将在对应的项目中按比例扣减当月的服务费用。</w:t>
            </w:r>
          </w:p>
        </w:tc>
      </w:tr>
    </w:tbl>
    <w:p>
      <w:pPr>
        <w:pStyle w:val="null3"/>
      </w:pPr>
      <w:r>
        <w:rPr>
          <w:sz w:val="24"/>
          <w:color w:val="000000"/>
        </w:rPr>
        <w:t>填表人：</w:t>
      </w:r>
      <w:r>
        <w:rPr/>
        <w:t xml:space="preserve">                      </w:t>
      </w:r>
      <w:r>
        <w:rPr>
          <w:sz w:val="24"/>
          <w:color w:val="000000"/>
        </w:rPr>
        <w:t xml:space="preserve">单位负责人：                     </w:t>
      </w:r>
      <w:r>
        <w:rPr>
          <w:sz w:val="24"/>
          <w:color w:val="000000"/>
        </w:rPr>
        <w:t>填报日期：</w:t>
      </w:r>
    </w:p>
    <w:p>
      <w:pPr>
        <w:pStyle w:val="null3"/>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22"/>
        <w:jc w:val="right"/>
      </w:pPr>
      <w:r>
        <w:rPr/>
        <w:t xml:space="preserve"> </w:t>
      </w:r>
    </w:p>
    <w:p>
      <w:pPr>
        <w:pStyle w:val="null3"/>
        <w:ind w:firstLine="422"/>
        <w:jc w:val="right"/>
      </w:pPr>
      <w:r>
        <w:rPr>
          <w:sz w:val="24"/>
          <w:b/>
        </w:rPr>
        <w:t>合同编号：</w:t>
      </w:r>
    </w:p>
    <w:p>
      <w:pPr>
        <w:pStyle w:val="null3"/>
        <w:ind w:firstLine="42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880"/>
        <w:jc w:val="center"/>
      </w:pPr>
      <w:r>
        <w:rPr>
          <w:sz w:val="27"/>
        </w:rPr>
        <w:t>采购计划编号：</w:t>
      </w:r>
    </w:p>
    <w:p>
      <w:pPr>
        <w:pStyle w:val="null3"/>
        <w:ind w:firstLine="480"/>
      </w:pPr>
      <w:r>
        <w:rPr/>
        <w:t xml:space="preserve"> </w:t>
      </w:r>
    </w:p>
    <w:p>
      <w:pPr>
        <w:pStyle w:val="null3"/>
        <w:ind w:firstLine="480"/>
        <w:jc w:val="both"/>
      </w:pPr>
      <w:r>
        <w:rPr>
          <w:sz w:val="27"/>
        </w:rPr>
        <w:t>项目编号：GZCQC2500FG02025</w:t>
      </w:r>
    </w:p>
    <w:p>
      <w:pPr>
        <w:pStyle w:val="null3"/>
        <w:ind w:firstLine="480"/>
        <w:jc w:val="both"/>
      </w:pPr>
      <w:r>
        <w:rPr/>
        <w:t xml:space="preserve"> </w:t>
      </w:r>
    </w:p>
    <w:p>
      <w:pPr>
        <w:pStyle w:val="null3"/>
        <w:ind w:firstLine="480"/>
        <w:jc w:val="both"/>
      </w:pPr>
      <w:r>
        <w:rPr>
          <w:sz w:val="27"/>
        </w:rPr>
        <w:t>项目名称：</w:t>
      </w:r>
      <w:r>
        <w:rPr>
          <w:sz w:val="27"/>
          <w:u w:val="single"/>
        </w:rPr>
        <w:t>2025年-2027年广州市公安局增城区分局交通违法和事故车辆拖吊保管服务项目</w:t>
      </w:r>
    </w:p>
    <w:p>
      <w:pPr>
        <w:pStyle w:val="null3"/>
        <w:ind w:firstLine="480"/>
        <w:jc w:val="both"/>
      </w:pPr>
      <w:r>
        <w:rPr/>
        <w:t xml:space="preserve"> </w:t>
      </w:r>
    </w:p>
    <w:p>
      <w:pPr>
        <w:pStyle w:val="null3"/>
        <w:ind w:firstLine="480"/>
        <w:jc w:val="both"/>
      </w:pPr>
      <w:r>
        <w:rPr>
          <w:sz w:val="27"/>
        </w:rPr>
        <w:t>采购包2：证据保存车辆保管服务</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24"/>
          <w:b/>
        </w:rPr>
        <w:t>2025年  月</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22"/>
        <w:jc w:val="both"/>
      </w:pPr>
      <w:r>
        <w:rPr>
          <w:sz w:val="24"/>
          <w:b/>
        </w:rPr>
        <w:t>甲方（采购人）：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2"/>
        <w:jc w:val="both"/>
      </w:pPr>
      <w:r>
        <w:rPr>
          <w:sz w:val="24"/>
          <w:b/>
        </w:rPr>
        <w:t>乙方（中标人）：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0"/>
        <w:jc w:val="both"/>
      </w:pPr>
      <w:r>
        <w:rPr>
          <w:sz w:val="24"/>
        </w:rPr>
        <w:t>根据《中华人民共和国民法典》、《中华人民共和国政府采购法》及2025年-2027年广州市公安局增城区分局交通违法和事故车辆拖吊保管服务项目采购文件（采购编号：GZCQC2500FG02025）采购包2：证据保存车辆保管服务的招标要求和乙方投标承诺，双方就甲方采购事项协商一致，订立本合同。</w:t>
      </w:r>
    </w:p>
    <w:p>
      <w:pPr>
        <w:pStyle w:val="null3"/>
        <w:ind w:firstLine="422"/>
        <w:jc w:val="both"/>
      </w:pPr>
      <w:r>
        <w:rPr>
          <w:sz w:val="24"/>
          <w:b/>
        </w:rPr>
        <w:t>一、服务内容</w:t>
      </w:r>
    </w:p>
    <w:p>
      <w:pPr>
        <w:pStyle w:val="null3"/>
        <w:ind w:firstLine="420"/>
        <w:jc w:val="both"/>
      </w:pPr>
      <w:r>
        <w:rPr>
          <w:sz w:val="24"/>
          <w:color w:val="000000"/>
        </w:rPr>
        <w:t>确定乙方为甲方提供证据保存车辆保管服务。该服务是指广州市公安局增城区分局交警大队（暨广州市公安局交通警察支队增城大队，下称“增城交警大队”）管辖道路范围内的交通违法和交通事故涉案车辆，因证据保存需要，按《中华人民共和国道路交通安全法》的规定作暂扣处理后的证据保存停放服务。所暂扣的车辆经调查、检验及核实，符合法律法规规定可以发还的车辆予以发还，其他车辆依法依规处理。</w:t>
      </w:r>
    </w:p>
    <w:p>
      <w:pPr>
        <w:pStyle w:val="null3"/>
        <w:ind w:firstLine="422"/>
        <w:jc w:val="both"/>
      </w:pPr>
      <w:r>
        <w:rPr>
          <w:sz w:val="24"/>
          <w:b/>
        </w:rPr>
        <w:t>二、服务要求</w:t>
      </w:r>
    </w:p>
    <w:p>
      <w:pPr>
        <w:pStyle w:val="null3"/>
        <w:ind w:firstLine="420"/>
        <w:jc w:val="both"/>
      </w:pPr>
      <w:r>
        <w:rPr>
          <w:sz w:val="24"/>
          <w:color w:val="000000"/>
        </w:rPr>
        <w:t>（一）乙方应按照甲方的交接要求（详见《车辆接收工作规程》），为甲方提供涉案车辆及待报废未迁出车辆管理服务（包括但不限于对涉案车辆采取必要的措施确保车辆的安全及证据的完好等相关工作）。从涉案车辆进场起到完毕止，乙方承担在此期间的消防安全责任和环境安全责任，必须做好车辆的消防安全保障及环境安全保障措施。在此期间发生消防安全事故或环境安全事故的，所产生的法律和经济责任由乙方承担。</w:t>
      </w:r>
    </w:p>
    <w:p>
      <w:pPr>
        <w:pStyle w:val="null3"/>
        <w:ind w:firstLine="420"/>
        <w:jc w:val="both"/>
      </w:pPr>
      <w:r>
        <w:rPr>
          <w:sz w:val="24"/>
          <w:color w:val="000000"/>
        </w:rPr>
        <w:t>（二）为保证保管场地有足够位置提供给甲方停放证据保存车辆，乙方每季度末必须向甲方书面报告场地实际使用面积情况。当停车场实际使用面积达到总面积的70%、 80%、90%时，乙方应立即 （最迟不超过2个工作日）向甲方书面报告（根据《城市停车规划规范》、结合实地测量车辆停放占地面积进行测算，具体测算面积标准见图1）。若甲方需要增加场地解决新入场车辆的，新增场地(即超出8.2万平方米的部分)双方需另签协议，费用另行计算不在本项目预算中支出。</w:t>
      </w:r>
    </w:p>
    <w:p>
      <w:pPr>
        <w:pStyle w:val="null3"/>
        <w:ind w:firstLine="422"/>
      </w:pPr>
      <w:r>
        <w:rPr>
          <w:sz w:val="24"/>
          <w:b/>
          <w:color w:val="000000"/>
        </w:rPr>
        <w:t>图1</w:t>
      </w:r>
    </w:p>
    <w:tbl>
      <w:tblPr>
        <w:tblW w:w="0" w:type="auto"/>
        <w:tblBorders>
          <w:top w:val="none" w:color="000000" w:sz="4"/>
          <w:left w:val="none" w:color="000000" w:sz="4"/>
          <w:bottom w:val="none" w:color="000000" w:sz="4"/>
          <w:right w:val="none" w:color="000000" w:sz="4"/>
          <w:insideH w:val="none"/>
          <w:insideV w:val="none"/>
        </w:tblBorders>
      </w:tblPr>
      <w:tblGrid>
        <w:gridCol w:w="4100"/>
        <w:gridCol w:w="4206"/>
      </w:tblGrid>
      <w:tr>
        <w:tc>
          <w:tcPr>
            <w:tcW w:type="dxa" w:w="41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center"/>
            </w:pPr>
            <w:r>
              <w:rPr>
                <w:sz w:val="24"/>
                <w:b/>
                <w:color w:val="000000"/>
              </w:rPr>
              <w:t>车辆类型</w:t>
            </w:r>
          </w:p>
        </w:tc>
        <w:tc>
          <w:tcPr>
            <w:tcW w:type="dxa" w:w="42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center"/>
            </w:pPr>
            <w:r>
              <w:rPr>
                <w:sz w:val="24"/>
                <w:b/>
                <w:color w:val="000000"/>
              </w:rPr>
              <w:t>每辆占地面积（㎡）</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小型汽车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28</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大型汽车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85.7</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机动三轮车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7.3</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二轮电动车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1.5</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摩托车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color w:val="000000"/>
              </w:rPr>
              <w:t>2.6</w:t>
            </w:r>
          </w:p>
        </w:tc>
      </w:tr>
    </w:tbl>
    <w:p>
      <w:pPr>
        <w:pStyle w:val="null3"/>
        <w:ind w:firstLine="420"/>
        <w:jc w:val="both"/>
      </w:pPr>
      <w:r>
        <w:rPr>
          <w:sz w:val="24"/>
          <w:color w:val="000000"/>
        </w:rPr>
        <w:t>（三）甲方定期按照有关规定对涉案车辆进行报废处理的，乙方全力协助甲方跟进车辆报废手续。</w:t>
      </w:r>
    </w:p>
    <w:p>
      <w:pPr>
        <w:pStyle w:val="null3"/>
        <w:ind w:firstLine="420"/>
        <w:jc w:val="both"/>
      </w:pPr>
      <w:r>
        <w:rPr>
          <w:sz w:val="24"/>
          <w:color w:val="000000"/>
        </w:rPr>
        <w:t>（四）乙方不得向涉案车辆当事人收取任何费用。</w:t>
      </w:r>
    </w:p>
    <w:p>
      <w:pPr>
        <w:pStyle w:val="null3"/>
        <w:ind w:firstLine="420"/>
        <w:jc w:val="both"/>
      </w:pPr>
      <w:r>
        <w:rPr>
          <w:sz w:val="24"/>
          <w:color w:val="000000"/>
        </w:rPr>
        <w:t>（五）投标人中标后必须向甲方提供技术人员所在单位的劳动合同、毕业证书和技术职称复印件，并需提供社保证明复印书。</w:t>
      </w:r>
    </w:p>
    <w:p>
      <w:pPr>
        <w:pStyle w:val="null3"/>
        <w:ind w:firstLine="422"/>
        <w:jc w:val="both"/>
      </w:pPr>
      <w:r>
        <w:rPr>
          <w:sz w:val="24"/>
          <w:b/>
        </w:rPr>
        <w:t>三、场地建设要求</w:t>
      </w:r>
    </w:p>
    <w:p>
      <w:pPr>
        <w:pStyle w:val="null3"/>
        <w:ind w:firstLine="420"/>
        <w:jc w:val="both"/>
      </w:pPr>
      <w:r>
        <w:rPr>
          <w:sz w:val="24"/>
        </w:rPr>
        <w:t>1、场地分布方面：甲方提供约8.2万平方米的地块，包含仙村约4.53万平方米地块、中新镇约3.2万平方米地块和派潭镇约0.47万平方米的地块；</w:t>
      </w:r>
    </w:p>
    <w:p>
      <w:pPr>
        <w:pStyle w:val="null3"/>
        <w:ind w:firstLine="420"/>
        <w:jc w:val="both"/>
      </w:pPr>
      <w:r>
        <w:rPr>
          <w:sz w:val="24"/>
        </w:rPr>
        <w:t>2、停车场地须确保涉案车辆的安全，避免涉案车辆因人为或自然原因造成车辆被盗、遗失或损（毁）坏等导致证据改变，影响取证工作，甲方提供的场地建设要求如下：</w:t>
      </w:r>
    </w:p>
    <w:p>
      <w:pPr>
        <w:pStyle w:val="null3"/>
        <w:ind w:firstLine="420"/>
        <w:jc w:val="both"/>
      </w:pPr>
      <w:r>
        <w:rPr>
          <w:sz w:val="24"/>
          <w:color w:val="000000"/>
        </w:rPr>
        <w:t>（1）</w:t>
      </w:r>
      <w:r>
        <w:rPr>
          <w:sz w:val="24"/>
          <w:b/>
        </w:rPr>
        <w:t>所属场地及服务中队：</w:t>
      </w:r>
      <w:r>
        <w:rPr>
          <w:sz w:val="24"/>
        </w:rPr>
        <w:t>(仙村、中新镇车场）一、二、三、四、五、七、九和事故中队</w:t>
      </w:r>
    </w:p>
    <w:tbl>
      <w:tblPr>
        <w:tblW w:w="0" w:type="auto"/>
        <w:tblBorders>
          <w:top w:val="none" w:color="000000" w:sz="4"/>
          <w:left w:val="none" w:color="000000" w:sz="4"/>
          <w:bottom w:val="none" w:color="000000" w:sz="4"/>
          <w:right w:val="none" w:color="000000" w:sz="4"/>
          <w:insideH w:val="none"/>
          <w:insideV w:val="none"/>
        </w:tblBorders>
      </w:tblPr>
      <w:tblGrid>
        <w:gridCol w:w="615"/>
        <w:gridCol w:w="820"/>
        <w:gridCol w:w="1714"/>
        <w:gridCol w:w="1245"/>
        <w:gridCol w:w="689"/>
        <w:gridCol w:w="864"/>
        <w:gridCol w:w="659"/>
        <w:gridCol w:w="908"/>
        <w:gridCol w:w="791"/>
        <w:gridCol w:w="0"/>
      </w:tblGrid>
      <w:tr>
        <w:tc>
          <w:tcPr>
            <w:tcW w:type="dxa" w:w="4394"/>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场地作业板房配置要求</w:t>
            </w:r>
          </w:p>
        </w:tc>
        <w:tc>
          <w:tcPr>
            <w:tcW w:type="dxa" w:w="6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视频监控要求</w:t>
            </w:r>
          </w:p>
        </w:tc>
        <w:tc>
          <w:tcPr>
            <w:tcW w:type="dxa" w:w="8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防涝、防火要求</w:t>
            </w:r>
          </w:p>
        </w:tc>
        <w:tc>
          <w:tcPr>
            <w:tcW w:type="dxa" w:w="6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照明要求</w:t>
            </w:r>
          </w:p>
        </w:tc>
        <w:tc>
          <w:tcPr>
            <w:tcW w:type="dxa" w:w="9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围蔽要求</w:t>
            </w:r>
          </w:p>
        </w:tc>
        <w:tc>
          <w:tcPr>
            <w:tcW w:type="dxa" w:w="7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场地硬底化要求</w:t>
            </w: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配置内容</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单个场地所需面积m</w:t>
            </w:r>
            <w:r>
              <w:rPr>
                <w:sz w:val="24"/>
                <w:b/>
                <w:vertAlign w:val="superscript"/>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功能及具体要求</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具体要求</w:t>
            </w:r>
          </w:p>
        </w:tc>
        <w:tc>
          <w:tcPr>
            <w:tcW w:type="dxa" w:w="689"/>
            <w:vMerge/>
            <w:tcBorders>
              <w:top w:val="single" w:color="000000" w:sz="4"/>
              <w:left w:val="none" w:color="000000" w:sz="4"/>
              <w:bottom w:val="single" w:color="000000" w:sz="4"/>
              <w:right w:val="single" w:color="000000" w:sz="4"/>
            </w:tcBorders>
          </w:tcPr>
          <w:p/>
        </w:tc>
        <w:tc>
          <w:tcPr>
            <w:tcW w:type="dxa" w:w="864"/>
            <w:vMerge/>
            <w:tcBorders>
              <w:top w:val="single" w:color="000000" w:sz="4"/>
              <w:left w:val="none" w:color="000000" w:sz="4"/>
              <w:bottom w:val="single" w:color="000000" w:sz="4"/>
              <w:right w:val="single" w:color="000000" w:sz="4"/>
            </w:tcBorders>
          </w:tcPr>
          <w:p/>
        </w:tc>
        <w:tc>
          <w:tcPr>
            <w:tcW w:type="dxa" w:w="659"/>
            <w:vMerge/>
            <w:tcBorders>
              <w:top w:val="single" w:color="000000" w:sz="4"/>
              <w:left w:val="none" w:color="000000" w:sz="4"/>
              <w:bottom w:val="single" w:color="000000" w:sz="4"/>
              <w:right w:val="single" w:color="000000" w:sz="4"/>
            </w:tcBorders>
          </w:tcPr>
          <w:p/>
        </w:tc>
        <w:tc>
          <w:tcPr>
            <w:tcW w:type="dxa" w:w="908"/>
            <w:vMerge/>
            <w:tcBorders>
              <w:top w:val="single" w:color="000000" w:sz="4"/>
              <w:left w:val="none" w:color="000000" w:sz="4"/>
              <w:bottom w:val="single" w:color="000000" w:sz="4"/>
              <w:right w:val="single" w:color="000000" w:sz="4"/>
            </w:tcBorders>
          </w:tcPr>
          <w:p/>
        </w:tc>
        <w:tc>
          <w:tcPr>
            <w:tcW w:type="dxa" w:w="791"/>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门卫室（值班室）</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7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配置监控设备，可实现视频实时查看及回看。</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xml:space="preserve">             工作职责：主要负责场内巡逻、车辆停放指挥、车辆查找、车辆发还、门卫、守护停车场等保安服务工作。需安排2人以上24小时值守         </w:t>
            </w:r>
          </w:p>
        </w:tc>
        <w:tc>
          <w:tcPr>
            <w:tcW w:type="dxa" w:w="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所有场地（含办公室、仓库、办证窗口、遮雨棚内）均需安装足够的视频监控（需要高清摄像头并带夜视功能，确保无死角全天监控，监控视频资料至少保存3个月备查</w:t>
            </w:r>
          </w:p>
        </w:tc>
        <w:tc>
          <w:tcPr>
            <w:tcW w:type="dxa" w:w="8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防涝方面：场内周边要建设好强排水功能下水道，预防暴雨季节造成水淹车辆的情况；防火方面：场内要摆放足够的灭火设备</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所有办公区域均需配置照明设备及必要的插座，其中停放车辆的场地必须灯光全覆盖，不能要黑暗面，平均照度需不小于50LX。</w:t>
            </w:r>
          </w:p>
        </w:tc>
        <w:tc>
          <w:tcPr>
            <w:tcW w:type="dxa" w:w="9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围墙均需设置刀刺网，对于离地高度不够2.5米的实体墙，需实体加高至2米后可另行用三层直拉式刀刺网加高至2.5米以上；除了大门外其他所有缺口均需进行实体围蔽至2米，然后另行用三层直拉式刀刺网加高至2.5米以上。</w:t>
            </w:r>
          </w:p>
        </w:tc>
        <w:tc>
          <w:tcPr>
            <w:tcW w:type="dxa" w:w="7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所有泥地地面（水泥地面除外）均需铺垫10CM以上的碎石垫层（碎石规格为0.8CM大少）</w:t>
            </w:r>
          </w:p>
        </w:tc>
        <w:tc>
          <w:tcPr>
            <w:tcW w:type="dxa" w:w="0"/>
            <w:tcBorders>
              <w:top w:val="none" w:color="000000" w:sz="4"/>
              <w:left w:val="none" w:color="000000" w:sz="4"/>
              <w:bottom w:val="none" w:color="000000" w:sz="4"/>
              <w:right w:val="none" w:color="000000" w:sz="4"/>
            </w:tcBorders>
          </w:tcPr>
          <w:p/>
        </w:tc>
      </w:tr>
      <w:tr>
        <w:tc>
          <w:tcPr>
            <w:tcW w:type="dxa" w:w="615"/>
            <w:vMerge/>
            <w:tcBorders>
              <w:top w:val="none" w:color="000000" w:sz="4"/>
              <w:left w:val="singl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714"/>
            <w:vMerge/>
            <w:tcBorders>
              <w:top w:val="none" w:color="000000" w:sz="4"/>
              <w:left w:val="none" w:color="000000" w:sz="4"/>
              <w:bottom w:val="single" w:color="000000" w:sz="4"/>
              <w:right w:val="single" w:color="000000" w:sz="4"/>
            </w:tcBorders>
          </w:tcPr>
          <w:p/>
        </w:tc>
        <w:tc>
          <w:tcPr>
            <w:tcW w:type="dxa" w:w="1245"/>
            <w:vMerge/>
            <w:tcBorders>
              <w:top w:val="none" w:color="000000" w:sz="4"/>
              <w:left w:val="none" w:color="000000" w:sz="4"/>
              <w:bottom w:val="single" w:color="000000" w:sz="4"/>
              <w:right w:val="single" w:color="000000" w:sz="4"/>
            </w:tcBorders>
          </w:tcP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vMerge/>
            <w:tcBorders>
              <w:top w:val="none" w:color="000000" w:sz="4"/>
              <w:left w:val="singl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714"/>
            <w:vMerge/>
            <w:tcBorders>
              <w:top w:val="none" w:color="000000" w:sz="4"/>
              <w:left w:val="none" w:color="000000" w:sz="4"/>
              <w:bottom w:val="single" w:color="000000" w:sz="4"/>
              <w:right w:val="single" w:color="000000" w:sz="4"/>
            </w:tcBorders>
          </w:tcPr>
          <w:p/>
        </w:tc>
        <w:tc>
          <w:tcPr>
            <w:tcW w:type="dxa" w:w="1245"/>
            <w:vMerge/>
            <w:tcBorders>
              <w:top w:val="none" w:color="000000" w:sz="4"/>
              <w:left w:val="none" w:color="000000" w:sz="4"/>
              <w:bottom w:val="single" w:color="000000" w:sz="4"/>
              <w:right w:val="single" w:color="000000" w:sz="4"/>
            </w:tcBorders>
          </w:tcP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办公室（资料室）</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7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可作为各中队驻场工作人员日常工作使用。</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vMerge/>
            <w:tcBorders>
              <w:top w:val="none" w:color="000000" w:sz="4"/>
              <w:left w:val="singl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714"/>
            <w:vMerge/>
            <w:tcBorders>
              <w:top w:val="none" w:color="000000" w:sz="4"/>
              <w:left w:val="none" w:color="000000" w:sz="4"/>
              <w:bottom w:val="single" w:color="000000" w:sz="4"/>
              <w:right w:val="single" w:color="000000" w:sz="4"/>
            </w:tcBorders>
          </w:tcPr>
          <w:p/>
        </w:tc>
        <w:tc>
          <w:tcPr>
            <w:tcW w:type="dxa" w:w="1245"/>
            <w:vMerge/>
            <w:tcBorders>
              <w:top w:val="none" w:color="000000" w:sz="4"/>
              <w:left w:val="none" w:color="000000" w:sz="4"/>
              <w:bottom w:val="single" w:color="000000" w:sz="4"/>
              <w:right w:val="single" w:color="000000" w:sz="4"/>
            </w:tcBorders>
          </w:tcP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日常对进出场车辆进行登记（包括电子台账和纸质台账），可随时查看和统计在场车辆数据。</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配置冲凉房和洗手间等生活用房</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餐厅（含厨房）</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餐厅的基本装修，水电煤接通，能直接使用。</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分隔成5间30平方的小房间，满足分类对方物品（包括五类车电池、钥匙等）条件</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设置不少于2间以上存放五类车电池的仓库</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遮雨棚</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仙村车场4·5米高的100平方，3米高的300平方；中新车场4·5米高的150平方，3米高的250平方遮雨铁硼，用于保护事故车辆的痕迹被雨水破坏和保障后期勘查取证工作开展</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搭建的雨棚必须牢固（可抗衡12级台风的风力，确保暴风雨期间车棚内的人车安全。</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795</w:t>
            </w:r>
          </w:p>
        </w:tc>
        <w:tc>
          <w:tcPr>
            <w:tcW w:type="dxa" w:w="295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c>
          <w:tcPr>
            <w:tcW w:type="dxa" w:w="689"/>
            <w:vMerge/>
            <w:tcBorders>
              <w:top w:val="none" w:color="000000" w:sz="4"/>
              <w:left w:val="none" w:color="000000" w:sz="4"/>
              <w:bottom w:val="single" w:color="000000" w:sz="4"/>
              <w:right w:val="single" w:color="000000" w:sz="4"/>
            </w:tcBorders>
          </w:tcPr>
          <w:p/>
        </w:tc>
        <w:tc>
          <w:tcPr>
            <w:tcW w:type="dxa" w:w="864"/>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79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bl>
    <w:p>
      <w:pPr>
        <w:pStyle w:val="null3"/>
      </w:pPr>
      <w:r>
        <w:rPr>
          <w:sz w:val="24"/>
          <w:color w:val="000000"/>
        </w:rPr>
        <w:t>（2）所属场地及服务中队：（派潭镇车场）六中队</w:t>
      </w:r>
    </w:p>
    <w:tbl>
      <w:tblPr>
        <w:tblW w:w="0" w:type="auto"/>
        <w:tblBorders>
          <w:top w:val="none" w:color="000000" w:sz="4"/>
          <w:left w:val="none" w:color="000000" w:sz="4"/>
          <w:bottom w:val="none" w:color="000000" w:sz="4"/>
          <w:right w:val="none" w:color="000000" w:sz="4"/>
          <w:insideH w:val="none"/>
          <w:insideV w:val="none"/>
        </w:tblBorders>
      </w:tblPr>
      <w:tblGrid>
        <w:gridCol w:w="673"/>
        <w:gridCol w:w="673"/>
        <w:gridCol w:w="1214"/>
        <w:gridCol w:w="1740"/>
        <w:gridCol w:w="921"/>
        <w:gridCol w:w="834"/>
        <w:gridCol w:w="687"/>
        <w:gridCol w:w="863"/>
        <w:gridCol w:w="702"/>
        <w:gridCol w:w="0"/>
      </w:tblGrid>
      <w:tr>
        <w:tc>
          <w:tcPr>
            <w:tcW w:type="dxa" w:w="4300"/>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单个场地作业板房配置要求</w:t>
            </w:r>
          </w:p>
        </w:tc>
        <w:tc>
          <w:tcPr>
            <w:tcW w:type="dxa" w:w="9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视频监控要求</w:t>
            </w:r>
          </w:p>
        </w:tc>
        <w:tc>
          <w:tcPr>
            <w:tcW w:type="dxa" w:w="8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防涝、防火要求</w:t>
            </w:r>
          </w:p>
        </w:tc>
        <w:tc>
          <w:tcPr>
            <w:tcW w:type="dxa" w:w="6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照明要求</w:t>
            </w:r>
          </w:p>
        </w:tc>
        <w:tc>
          <w:tcPr>
            <w:tcW w:type="dxa" w:w="8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围蔽要求</w:t>
            </w:r>
          </w:p>
        </w:tc>
        <w:tc>
          <w:tcPr>
            <w:tcW w:type="dxa" w:w="7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场地硬底化要求</w:t>
            </w: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配置内容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单个场地所需面积m</w:t>
            </w:r>
            <w:r>
              <w:rPr>
                <w:sz w:val="24"/>
                <w:b/>
                <w:vertAlign w:val="superscript"/>
              </w:rPr>
              <w:t>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功能及具体要求</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具体要求</w:t>
            </w:r>
          </w:p>
        </w:tc>
        <w:tc>
          <w:tcPr>
            <w:tcW w:type="dxa" w:w="921"/>
            <w:vMerge/>
            <w:tcBorders>
              <w:top w:val="single" w:color="000000" w:sz="4"/>
              <w:left w:val="none" w:color="000000" w:sz="4"/>
              <w:bottom w:val="single" w:color="000000" w:sz="4"/>
              <w:right w:val="single" w:color="000000" w:sz="4"/>
            </w:tcBorders>
          </w:tcPr>
          <w:p/>
        </w:tc>
        <w:tc>
          <w:tcPr>
            <w:tcW w:type="dxa" w:w="834"/>
            <w:vMerge/>
            <w:tcBorders>
              <w:top w:val="single" w:color="000000" w:sz="4"/>
              <w:left w:val="none" w:color="000000" w:sz="4"/>
              <w:bottom w:val="single" w:color="000000" w:sz="4"/>
              <w:right w:val="single" w:color="000000" w:sz="4"/>
            </w:tcBorders>
          </w:tcPr>
          <w:p/>
        </w:tc>
        <w:tc>
          <w:tcPr>
            <w:tcW w:type="dxa" w:w="687"/>
            <w:vMerge/>
            <w:tcBorders>
              <w:top w:val="single" w:color="000000" w:sz="4"/>
              <w:left w:val="none" w:color="000000" w:sz="4"/>
              <w:bottom w:val="single" w:color="000000" w:sz="4"/>
              <w:right w:val="single" w:color="000000" w:sz="4"/>
            </w:tcBorders>
          </w:tcPr>
          <w:p/>
        </w:tc>
        <w:tc>
          <w:tcPr>
            <w:tcW w:type="dxa" w:w="863"/>
            <w:vMerge/>
            <w:tcBorders>
              <w:top w:val="single" w:color="000000" w:sz="4"/>
              <w:left w:val="none" w:color="000000" w:sz="4"/>
              <w:bottom w:val="single" w:color="000000" w:sz="4"/>
              <w:right w:val="single" w:color="000000" w:sz="4"/>
            </w:tcBorders>
          </w:tcPr>
          <w:p/>
        </w:tc>
        <w:tc>
          <w:tcPr>
            <w:tcW w:type="dxa" w:w="702"/>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门卫室（值班室）</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配置监控设备，可实现视频实时查看及回看。</w:t>
            </w:r>
          </w:p>
        </w:tc>
        <w:tc>
          <w:tcPr>
            <w:tcW w:type="dxa" w:w="1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工作职责：主要负责场内巡逻、车辆停放指挥、车辆查找、车辆发还、门卫、守护停车场等保安服务工作。需安排2人以上24小时值守</w:t>
            </w:r>
          </w:p>
        </w:tc>
        <w:tc>
          <w:tcPr>
            <w:tcW w:type="dxa" w:w="9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所有场地（含办公室、仓库、办证窗口、遮雨棚内）均需安装足够的视频监控（需要高清摄像头并带夜视功能，确保无死角全天监控，监控视频资料至少保存3个月备查</w:t>
            </w:r>
          </w:p>
        </w:tc>
        <w:tc>
          <w:tcPr>
            <w:tcW w:type="dxa" w:w="8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防涝方面：场内周边要建设好强排水功能下水道，预防暴雨季节造成水淹车辆的情况；防火方面：场内要摆放足够的灭火设备</w:t>
            </w:r>
          </w:p>
        </w:tc>
        <w:tc>
          <w:tcPr>
            <w:tcW w:type="dxa" w:w="6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所有办公区域均需配置照明设备及必要的插座，其中停放车辆的场地必须灯光全覆盖，不能要黑暗面，平均照度需不小于50LX。</w:t>
            </w:r>
          </w:p>
        </w:tc>
        <w:tc>
          <w:tcPr>
            <w:tcW w:type="dxa" w:w="8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对于离地高度不够2.5米的实体墙，需实体加高至2米后可另行用三层直拉式刀刺网加高至2.5米以上；除了大门外其他所有缺口均需进行实体围蔽至2米，然后另行用三层直拉式刀刺网加高至2.5米以上。</w:t>
            </w:r>
          </w:p>
        </w:tc>
        <w:tc>
          <w:tcPr>
            <w:tcW w:type="dxa" w:w="7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所有泥地地面（水泥地面除外）均需铺垫5CM以上的碎石垫层（碎石规格为0.8CM大少）</w:t>
            </w:r>
          </w:p>
        </w:tc>
        <w:tc>
          <w:tcPr>
            <w:tcW w:type="dxa" w:w="0"/>
            <w:tcBorders>
              <w:top w:val="none" w:color="000000" w:sz="4"/>
              <w:left w:val="none" w:color="000000" w:sz="4"/>
              <w:bottom w:val="none" w:color="000000" w:sz="4"/>
              <w:right w:val="none" w:color="000000" w:sz="4"/>
            </w:tcBorders>
          </w:tcPr>
          <w:p/>
        </w:tc>
      </w:tr>
      <w:tr>
        <w:tc>
          <w:tcPr>
            <w:tcW w:type="dxa" w:w="673"/>
            <w:vMerge/>
            <w:tcBorders>
              <w:top w:val="none" w:color="000000" w:sz="4"/>
              <w:left w:val="singl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1214"/>
            <w:vMerge/>
            <w:tcBorders>
              <w:top w:val="none" w:color="000000" w:sz="4"/>
              <w:left w:val="none" w:color="000000" w:sz="4"/>
              <w:bottom w:val="single" w:color="000000" w:sz="4"/>
              <w:right w:val="single" w:color="000000" w:sz="4"/>
            </w:tcBorders>
          </w:tcPr>
          <w:p/>
        </w:tc>
        <w:tc>
          <w:tcPr>
            <w:tcW w:type="dxa" w:w="1740"/>
            <w:vMerge/>
            <w:tcBorders>
              <w:top w:val="none" w:color="000000" w:sz="4"/>
              <w:left w:val="none" w:color="000000" w:sz="4"/>
              <w:bottom w:val="single" w:color="000000" w:sz="4"/>
              <w:right w:val="single" w:color="000000" w:sz="4"/>
            </w:tcBorders>
          </w:tcP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tcBorders>
              <w:top w:val="none" w:color="000000" w:sz="4"/>
              <w:left w:val="singl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1214"/>
            <w:vMerge/>
            <w:tcBorders>
              <w:top w:val="none" w:color="000000" w:sz="4"/>
              <w:left w:val="none" w:color="000000" w:sz="4"/>
              <w:bottom w:val="single" w:color="000000" w:sz="4"/>
              <w:right w:val="single" w:color="000000" w:sz="4"/>
            </w:tcBorders>
          </w:tcPr>
          <w:p/>
        </w:tc>
        <w:tc>
          <w:tcPr>
            <w:tcW w:type="dxa" w:w="1740"/>
            <w:vMerge/>
            <w:tcBorders>
              <w:top w:val="none" w:color="000000" w:sz="4"/>
              <w:left w:val="none" w:color="000000" w:sz="4"/>
              <w:bottom w:val="single" w:color="000000" w:sz="4"/>
              <w:right w:val="single" w:color="000000" w:sz="4"/>
            </w:tcBorders>
          </w:tcP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办证窗口（含资料室、办公室）</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办证窗口日常对进出场车辆进行登记（包括电子台账和纸质台账），可随时查看和统计在场车辆数据。可作为各中队驻场工作人员日常工作使用。</w:t>
            </w: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vMerge/>
            <w:tcBorders>
              <w:top w:val="none" w:color="000000" w:sz="4"/>
              <w:left w:val="singl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1214"/>
            <w:vMerge/>
            <w:tcBorders>
              <w:top w:val="none" w:color="000000" w:sz="4"/>
              <w:left w:val="none" w:color="000000" w:sz="4"/>
              <w:bottom w:val="single" w:color="000000" w:sz="4"/>
              <w:right w:val="single" w:color="000000" w:sz="4"/>
            </w:tcBorders>
          </w:tcPr>
          <w:p/>
        </w:tc>
        <w:tc>
          <w:tcPr>
            <w:tcW w:type="dxa" w:w="1740"/>
            <w:vMerge/>
            <w:tcBorders>
              <w:top w:val="none" w:color="000000" w:sz="4"/>
              <w:left w:val="none" w:color="000000" w:sz="4"/>
              <w:bottom w:val="single" w:color="000000" w:sz="4"/>
              <w:right w:val="single" w:color="000000" w:sz="4"/>
            </w:tcBorders>
          </w:tcP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可用原有房屋</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配置冲凉房和洗手间等生活用房</w:t>
            </w: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餐厅（含厨房）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餐厅的基本装修，水电煤接通，能直接使用。</w:t>
            </w: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可用原有房屋</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满足分类对方物品（包括五类车电池、钥匙等）条件</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设置不少于2间以上存放五类车电池的仓库</w:t>
            </w: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遮雨棚</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可对现有的雨棚进行改造</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需设置至少200平方离地距离3米以上的遮雨铁硼，用于保护事故车辆的痕迹被雨水破坏和保障后期勘查取证工作开展</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搭建的雨棚必须牢固（可抗衡12级台风的风力，确保暴风雨期间车棚内的人车安全。</w:t>
            </w: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1"/>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bl>
    <w:p>
      <w:pPr>
        <w:pStyle w:val="null3"/>
      </w:pPr>
      <w:r>
        <w:rPr>
          <w:sz w:val="24"/>
        </w:rPr>
        <w:t xml:space="preserve"> 对于甲方提供的约8.2万平方米场地，</w:t>
      </w:r>
      <w:r>
        <w:rPr>
          <w:sz w:val="24"/>
          <w:color w:val="000000"/>
        </w:rPr>
        <w:t>自签订合同后20天内</w:t>
      </w:r>
      <w:r>
        <w:rPr>
          <w:sz w:val="24"/>
        </w:rPr>
        <w:t>，乙方需按上述建设要求完成建设并通过验收，保证能提供给甲方使用，维护管理及建设产生的费用由乙方负责。</w:t>
      </w:r>
      <w:r>
        <w:rPr>
          <w:sz w:val="24"/>
          <w:color w:val="000000"/>
        </w:rPr>
        <w:t>上述场地改造所建设的内容和购置的设备物品权属归甲方，服务期结束后乙方原封不动保留在场地内，甲方按验收清单核验。</w:t>
      </w:r>
    </w:p>
    <w:p>
      <w:pPr>
        <w:pStyle w:val="null3"/>
        <w:ind w:firstLine="420"/>
        <w:jc w:val="both"/>
      </w:pPr>
      <w:r>
        <w:rPr>
          <w:sz w:val="24"/>
          <w:color w:val="000000"/>
        </w:rPr>
        <w:t>3</w:t>
      </w:r>
      <w:r>
        <w:rPr>
          <w:sz w:val="24"/>
          <w:color w:val="000000"/>
        </w:rPr>
        <w:t>、如乙方不具备场地建设的资质，该部分内容可实施分包，需提供场地建设的设计方案（必要的图文和清单）及施工组织方案。</w:t>
      </w:r>
    </w:p>
    <w:p>
      <w:pPr>
        <w:pStyle w:val="null3"/>
        <w:ind w:firstLine="420"/>
        <w:jc w:val="both"/>
      </w:pPr>
      <w:r>
        <w:rPr>
          <w:sz w:val="24"/>
          <w:b/>
        </w:rPr>
        <w:t>四、</w:t>
      </w:r>
      <w:r>
        <w:rPr>
          <w:sz w:val="24"/>
          <w:b/>
          <w:color w:val="000000"/>
        </w:rPr>
        <w:t>场地管理要求</w:t>
      </w:r>
    </w:p>
    <w:p>
      <w:pPr>
        <w:pStyle w:val="null3"/>
        <w:ind w:firstLine="420"/>
        <w:jc w:val="both"/>
      </w:pPr>
      <w:r>
        <w:rPr>
          <w:sz w:val="24"/>
        </w:rPr>
        <w:t>1、甲方采用统筹安排、集中管理的原则，将所有场地划分为若干个区域，以各中队实际扣车数量比例合理分配场地，并按照涉案车辆暂扣性质、车辆类型以及进场顺序实施分区管理。供应商应当在收到甲方提供的场地区域面积分配计划后15日内，将制定的场地区域划分平面图提交甲方审定，并在甲方审定后15日内，使用明显的标牌标线以区分不同区域。</w:t>
      </w:r>
    </w:p>
    <w:p>
      <w:pPr>
        <w:pStyle w:val="null3"/>
        <w:ind w:firstLine="420"/>
        <w:jc w:val="both"/>
      </w:pPr>
      <w:r>
        <w:rPr>
          <w:sz w:val="24"/>
        </w:rPr>
        <w:t>2、乙方应采取必要措施对暂扣车辆的随车物品进行临时保管。小件随车物品应当在登记、拍照、编号后纳入随车物品保管室管理。乙方还应当提供必要的车辆充电以及打气等免费服务。</w:t>
      </w:r>
    </w:p>
    <w:p>
      <w:pPr>
        <w:pStyle w:val="null3"/>
        <w:ind w:firstLine="420"/>
        <w:jc w:val="both"/>
      </w:pPr>
      <w:r>
        <w:rPr>
          <w:sz w:val="24"/>
        </w:rPr>
        <w:t>3、乙方应当按照甲方要求对相关车辆汽油进行抽取、登记，并按照有关规定要求依法妥善保管，配合甲方按照涉案财物管理等规定依法处理。严格规范填写《车场汽油跟踪表》，出入库必须登记完善，且由专人每天负责检查台账登记情况，确保数据完善、准确。</w:t>
      </w:r>
    </w:p>
    <w:p>
      <w:pPr>
        <w:pStyle w:val="null3"/>
        <w:ind w:firstLine="420"/>
        <w:jc w:val="both"/>
      </w:pPr>
      <w:r>
        <w:rPr>
          <w:sz w:val="24"/>
        </w:rPr>
        <w:t>4、乙方应当按照甲方要求对进场非汽车类机动车及非机动车的电动车辆的电池进行拆除，并编制序号依法妥善保管；严格规范填写《车场“非汽车类机动车及非机动车”电池处置跟踪表》，出入库必须登记完善，且由专人每天负责检查台账登记情况，确保数据完善、准确。</w:t>
      </w:r>
    </w:p>
    <w:p>
      <w:pPr>
        <w:pStyle w:val="null3"/>
        <w:ind w:firstLine="420"/>
        <w:jc w:val="both"/>
      </w:pPr>
      <w:r>
        <w:rPr>
          <w:sz w:val="24"/>
        </w:rPr>
        <w:t>5、各场地应履行信息公开制度，在业务办理窗口以及场地入口显著位置悬挂公示办理流程、注意事项、投诉电话、工作人员信息、不收费承诺等相关内容的公示标牌。</w:t>
      </w:r>
    </w:p>
    <w:p>
      <w:pPr>
        <w:pStyle w:val="null3"/>
        <w:ind w:firstLine="420"/>
        <w:jc w:val="both"/>
      </w:pPr>
      <w:r>
        <w:rPr>
          <w:sz w:val="24"/>
        </w:rPr>
        <w:t>6、车辆挪移设备：为保证涉案车辆整齐归位停放，每个场地均需配备至少1台叉车或挪车设备，用于车辆日常挪移工作。</w:t>
      </w:r>
    </w:p>
    <w:p>
      <w:pPr>
        <w:pStyle w:val="null3"/>
        <w:ind w:firstLine="400"/>
        <w:jc w:val="both"/>
      </w:pPr>
      <w:r>
        <w:rPr>
          <w:sz w:val="24"/>
        </w:rPr>
        <w:t>7、乙方须按照1万平方米不少于400万保额的标准购买保险，以保证如遇到涉案车辆遭受损失时能及时赔付，保证赔付能力。</w:t>
      </w:r>
    </w:p>
    <w:p>
      <w:pPr>
        <w:pStyle w:val="null3"/>
        <w:ind w:firstLine="400"/>
        <w:jc w:val="both"/>
      </w:pPr>
      <w:r>
        <w:rPr>
          <w:sz w:val="24"/>
          <w:color w:val="000000"/>
        </w:rPr>
        <w:t>8</w:t>
      </w:r>
      <w:r>
        <w:rPr>
          <w:sz w:val="24"/>
          <w:color w:val="000000"/>
        </w:rPr>
        <w:t>、场地中所需的设施设备由乙方负责（并承担相关费用）：</w:t>
      </w:r>
    </w:p>
    <w:tbl>
      <w:tblPr>
        <w:tblW w:w="0" w:type="auto"/>
        <w:tblBorders>
          <w:top w:val="none" w:color="000000" w:sz="4"/>
          <w:left w:val="none" w:color="000000" w:sz="4"/>
          <w:bottom w:val="none" w:color="000000" w:sz="4"/>
          <w:right w:val="none" w:color="000000" w:sz="4"/>
          <w:insideH w:val="none"/>
          <w:insideV w:val="none"/>
        </w:tblBorders>
      </w:tblPr>
      <w:tblGrid>
        <w:gridCol w:w="1882"/>
        <w:gridCol w:w="3011"/>
        <w:gridCol w:w="3330"/>
        <w:gridCol w:w="0"/>
      </w:tblGrid>
      <w:tr>
        <w:tc>
          <w:tcPr>
            <w:tcW w:type="dxa" w:w="18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6341"/>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功能及具体要求</w:t>
            </w:r>
          </w:p>
        </w:tc>
        <w:tc>
          <w:tcPr>
            <w:tcW w:type="dxa" w:w="0"/>
            <w:tcBorders>
              <w:top w:val="none" w:color="000000" w:sz="4"/>
              <w:left w:val="none" w:color="000000" w:sz="4"/>
              <w:bottom w:val="none" w:color="000000" w:sz="4"/>
              <w:right w:val="none" w:color="000000" w:sz="4"/>
            </w:tcBorders>
          </w:tcPr>
          <w:p/>
        </w:tc>
      </w:tr>
      <w:tr>
        <w:tc>
          <w:tcPr>
            <w:tcW w:type="dxa" w:w="1882"/>
            <w:vMerge/>
            <w:tcBorders>
              <w:top w:val="single" w:color="000000" w:sz="4"/>
              <w:left w:val="single" w:color="000000" w:sz="4"/>
              <w:bottom w:val="single" w:color="000000" w:sz="4"/>
              <w:right w:val="single" w:color="000000" w:sz="4"/>
            </w:tcBorders>
          </w:tcP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仙村、中新车场</w:t>
            </w:r>
          </w:p>
        </w:tc>
        <w:tc>
          <w:tcPr>
            <w:tcW w:type="dxa" w:w="3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派潭车场</w:t>
            </w:r>
          </w:p>
        </w:tc>
        <w:tc>
          <w:tcPr>
            <w:tcW w:type="dxa" w:w="0"/>
            <w:tcBorders>
              <w:top w:val="none" w:color="000000" w:sz="4"/>
              <w:left w:val="none" w:color="000000" w:sz="4"/>
              <w:bottom w:val="none" w:color="000000" w:sz="4"/>
              <w:right w:val="none" w:color="000000" w:sz="4"/>
            </w:tcBorders>
          </w:tcPr>
          <w:p/>
        </w:tc>
      </w:tr>
      <w:tr>
        <w:tc>
          <w:tcPr>
            <w:tcW w:type="dxa" w:w="18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门卫室（值班室）</w:t>
            </w:r>
          </w:p>
        </w:tc>
        <w:tc>
          <w:tcPr>
            <w:tcW w:type="dxa" w:w="30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坐岗桌椅及3张双层木床。硬件配置：配备钢叉、长棍、盾牌、防刺背心。</w:t>
            </w:r>
          </w:p>
        </w:tc>
        <w:tc>
          <w:tcPr>
            <w:tcW w:type="dxa" w:w="3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坐岗桌椅及1张双层木床。</w:t>
            </w:r>
          </w:p>
          <w:p>
            <w:pPr>
              <w:pStyle w:val="null3"/>
              <w:jc w:val="center"/>
            </w:pPr>
            <w:r>
              <w:rPr>
                <w:sz w:val="24"/>
              </w:rPr>
              <w:t>硬件配置：配备钢叉、长棍、盾牌、防刺背心。</w:t>
            </w:r>
          </w:p>
        </w:tc>
        <w:tc>
          <w:tcPr>
            <w:tcW w:type="dxa" w:w="0"/>
            <w:tcBorders>
              <w:top w:val="none" w:color="000000" w:sz="4"/>
              <w:left w:val="none" w:color="000000" w:sz="4"/>
              <w:bottom w:val="none" w:color="000000" w:sz="4"/>
              <w:right w:val="none" w:color="000000" w:sz="4"/>
            </w:tcBorders>
          </w:tcPr>
          <w:p/>
        </w:tc>
      </w:tr>
      <w:tr>
        <w:tc>
          <w:tcPr>
            <w:tcW w:type="dxa" w:w="1882"/>
            <w:vMerge/>
            <w:tcBorders>
              <w:top w:val="none" w:color="000000" w:sz="4"/>
              <w:left w:val="single" w:color="000000" w:sz="4"/>
              <w:bottom w:val="single" w:color="000000" w:sz="4"/>
              <w:right w:val="single" w:color="000000" w:sz="4"/>
            </w:tcBorders>
          </w:tcPr>
          <w:p/>
        </w:tc>
        <w:tc>
          <w:tcPr>
            <w:tcW w:type="dxa" w:w="3011"/>
            <w:vMerge/>
            <w:tcBorders>
              <w:top w:val="none" w:color="000000" w:sz="4"/>
              <w:left w:val="none" w:color="000000" w:sz="4"/>
              <w:bottom w:val="single" w:color="000000" w:sz="4"/>
              <w:right w:val="single" w:color="000000" w:sz="4"/>
            </w:tcBorders>
          </w:tcPr>
          <w:p/>
        </w:tc>
        <w:tc>
          <w:tcPr>
            <w:tcW w:type="dxa" w:w="333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1882"/>
            <w:vMerge/>
            <w:tcBorders>
              <w:top w:val="none" w:color="000000" w:sz="4"/>
              <w:left w:val="single" w:color="000000" w:sz="4"/>
              <w:bottom w:val="single" w:color="000000" w:sz="4"/>
              <w:right w:val="single" w:color="000000" w:sz="4"/>
            </w:tcBorders>
          </w:tcPr>
          <w:p/>
        </w:tc>
        <w:tc>
          <w:tcPr>
            <w:tcW w:type="dxa" w:w="3011"/>
            <w:vMerge/>
            <w:tcBorders>
              <w:top w:val="none" w:color="000000" w:sz="4"/>
              <w:left w:val="none" w:color="000000" w:sz="4"/>
              <w:bottom w:val="single" w:color="000000" w:sz="4"/>
              <w:right w:val="single" w:color="000000" w:sz="4"/>
            </w:tcBorders>
          </w:tcPr>
          <w:p/>
        </w:tc>
        <w:tc>
          <w:tcPr>
            <w:tcW w:type="dxa" w:w="333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18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办公室（资料室）</w:t>
            </w:r>
          </w:p>
        </w:tc>
        <w:tc>
          <w:tcPr>
            <w:tcW w:type="dxa" w:w="30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二张以上办公桌椅、20个档案柜，至少1台电脑及一台彩色打印机（需制作一车一档及台账）。</w:t>
            </w:r>
            <w:r>
              <w:rPr>
                <w:sz w:val="24"/>
              </w:rPr>
              <w:t>需为各中队提供日常制作一车一档的纸张、拓印纸和打印机墨盒等办公耗材。</w:t>
            </w:r>
          </w:p>
        </w:tc>
        <w:tc>
          <w:tcPr>
            <w:tcW w:type="dxa" w:w="3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二张以上办公桌椅、5个档案柜，至少2台电脑及一台彩色打印机（用于日常车辆放行、车辆出入登记统计及制作一车一档及台账等）。需为各中队提供日常制作一车一档的纸张、拓印纸和打印机墨盒等办公耗材。</w:t>
            </w:r>
          </w:p>
        </w:tc>
        <w:tc>
          <w:tcPr>
            <w:tcW w:type="dxa" w:w="0"/>
            <w:tcBorders>
              <w:top w:val="none" w:color="000000" w:sz="4"/>
              <w:left w:val="none" w:color="000000" w:sz="4"/>
              <w:bottom w:val="none" w:color="000000" w:sz="4"/>
              <w:right w:val="none" w:color="000000" w:sz="4"/>
            </w:tcBorders>
          </w:tcPr>
          <w:p/>
        </w:tc>
      </w:tr>
      <w:tr>
        <w:tc>
          <w:tcPr>
            <w:tcW w:type="dxa" w:w="1882"/>
            <w:vMerge/>
            <w:tcBorders>
              <w:top w:val="none" w:color="000000" w:sz="4"/>
              <w:left w:val="single" w:color="000000" w:sz="4"/>
              <w:bottom w:val="single" w:color="000000" w:sz="4"/>
              <w:right w:val="single" w:color="000000" w:sz="4"/>
            </w:tcBorders>
          </w:tcPr>
          <w:p/>
        </w:tc>
        <w:tc>
          <w:tcPr>
            <w:tcW w:type="dxa" w:w="3011"/>
            <w:vMerge/>
            <w:tcBorders>
              <w:top w:val="none" w:color="000000" w:sz="4"/>
              <w:left w:val="none" w:color="000000" w:sz="4"/>
              <w:bottom w:val="single" w:color="000000" w:sz="4"/>
              <w:right w:val="single" w:color="000000" w:sz="4"/>
            </w:tcBorders>
          </w:tcPr>
          <w:p/>
        </w:tc>
        <w:tc>
          <w:tcPr>
            <w:tcW w:type="dxa" w:w="333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办证窗口</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至少放置2台电脑及一台打印机</w:t>
            </w:r>
          </w:p>
        </w:tc>
        <w:tc>
          <w:tcPr>
            <w:tcW w:type="dxa" w:w="3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能满足10至15人住宿的各项功能及设施</w:t>
            </w:r>
          </w:p>
        </w:tc>
        <w:tc>
          <w:tcPr>
            <w:tcW w:type="dxa" w:w="3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能满足6至8人住宿的各项功能及设施</w:t>
            </w:r>
          </w:p>
        </w:tc>
        <w:tc>
          <w:tcPr>
            <w:tcW w:type="dxa" w:w="0"/>
            <w:tcBorders>
              <w:top w:val="none" w:color="000000" w:sz="4"/>
              <w:left w:val="none" w:color="000000" w:sz="4"/>
              <w:bottom w:val="none" w:color="000000" w:sz="4"/>
              <w:right w:val="none" w:color="000000" w:sz="4"/>
            </w:tcBorders>
          </w:tcP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餐厅（含厨房）</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能满足10至15人同时就餐的各项设施及厨房设备及用品。配置餐桌椅、炉具、碗筷等。</w:t>
            </w:r>
          </w:p>
        </w:tc>
        <w:tc>
          <w:tcPr>
            <w:tcW w:type="dxa" w:w="3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能满足6至8人同时就餐的各项设施及厨房设备及用品。配置餐桌椅、炉具、碗筷等。</w:t>
            </w:r>
          </w:p>
        </w:tc>
        <w:tc>
          <w:tcPr>
            <w:tcW w:type="dxa" w:w="0"/>
            <w:tcBorders>
              <w:top w:val="none" w:color="000000" w:sz="4"/>
              <w:left w:val="none" w:color="000000" w:sz="4"/>
              <w:bottom w:val="none" w:color="000000" w:sz="4"/>
              <w:right w:val="none" w:color="000000" w:sz="4"/>
            </w:tcBorders>
          </w:tcP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（1）每间房间需配置能同时放置8000辆车辆钥匙的带锁铁柜（需按中队、车型分隔摆放和保管）</w:t>
            </w:r>
          </w:p>
          <w:p>
            <w:pPr>
              <w:pStyle w:val="null3"/>
              <w:jc w:val="left"/>
            </w:pPr>
            <w:r>
              <w:rPr>
                <w:sz w:val="24"/>
              </w:rPr>
              <w:t>（2）为防止电池高温爆燃，需配置空调设备，保持室内温度26度以下，同时需配备货架进行存放电池，电池之间不可以叠放，只能单层平放。</w:t>
            </w:r>
          </w:p>
        </w:tc>
        <w:tc>
          <w:tcPr>
            <w:tcW w:type="dxa" w:w="3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（1）每间房间需配置用于存放车辆钥匙的带锁铁柜（需按车型分隔摆放和保管）</w:t>
            </w:r>
          </w:p>
          <w:p>
            <w:pPr>
              <w:pStyle w:val="null3"/>
              <w:jc w:val="left"/>
            </w:pPr>
            <w:r>
              <w:rPr>
                <w:sz w:val="24"/>
              </w:rPr>
              <w:t>（2）为防止电池高温爆燃，需配置空调设备，保持室内温度26度以下，同时需配备货架进行存放电池，电池之间不可以叠放，只能单层平放。</w:t>
            </w:r>
          </w:p>
        </w:tc>
        <w:tc>
          <w:tcPr>
            <w:tcW w:type="dxa" w:w="0"/>
            <w:tcBorders>
              <w:top w:val="none" w:color="000000" w:sz="4"/>
              <w:left w:val="none" w:color="000000" w:sz="4"/>
              <w:bottom w:val="none" w:color="000000" w:sz="4"/>
              <w:right w:val="none" w:color="000000" w:sz="4"/>
            </w:tcBorders>
          </w:tcPr>
          <w:p/>
        </w:tc>
      </w:tr>
      <w:tr>
        <w:tc>
          <w:tcPr>
            <w:tcW w:type="dxa" w:w="8223"/>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所有办公区域均需配置空调设备。</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ind w:firstLine="420"/>
        <w:jc w:val="both"/>
      </w:pPr>
      <w:r>
        <w:rPr>
          <w:sz w:val="24"/>
        </w:rPr>
        <w:t>9、乙方应将涉案车辆具体信息通过甲方开发的涉案车辆管理系统进行录入（每个停车场至少要配备4台安装了甲方开发的涉案车辆管理系统的安卓手机给的车场管理人员使用，包括车辆入场、离场或放行等流程均需由车场管理人员如实录入涉案车辆管理系统。）,按照要求建立纸质档案和车辆电子档案以备甲方监管人员随时查用，各车场应配备足够的人员、设备和日常办公耗材（包括拓印工具、拓印纸、电脑及打印机、打印纸、办公桌椅等），按照甲方要求协助做好涉案车辆一车一档的（包括拓印、拍照、资料录入、纸质归档等）建档工作。</w:t>
      </w:r>
    </w:p>
    <w:p>
      <w:pPr>
        <w:pStyle w:val="null3"/>
        <w:ind w:firstLine="420"/>
        <w:jc w:val="both"/>
      </w:pPr>
      <w:r>
        <w:rPr>
          <w:sz w:val="24"/>
        </w:rPr>
        <w:t>10、参与搬运作业的人员要负起对车辆分区按类别有序摆放的责任，杜绝车辆因随意摆放引发“找车难”等问题。</w:t>
      </w:r>
    </w:p>
    <w:p>
      <w:pPr>
        <w:pStyle w:val="null3"/>
        <w:ind w:firstLine="420"/>
        <w:jc w:val="both"/>
      </w:pPr>
      <w:r>
        <w:rPr>
          <w:sz w:val="24"/>
        </w:rPr>
        <w:t>11、乙方派出的场地管理人员需穿着统一工作服上岗,上岗时应佩戴工作卡，对进场协助车辆摆放的拯救作业人员，以及车辆领取人必须全程进行监督，以防止涉案车辆及随车物品等物资在场内被人为损坏或盗走。</w:t>
      </w:r>
    </w:p>
    <w:p>
      <w:pPr>
        <w:pStyle w:val="null3"/>
        <w:ind w:firstLine="420"/>
        <w:jc w:val="both"/>
      </w:pPr>
      <w:r>
        <w:rPr>
          <w:sz w:val="24"/>
        </w:rPr>
        <w:t>12、乙方应在场内设置车辆钥匙保管柜和随车物品（贵重或小件物品）保管柜，对车辆钥匙和物品按单位、类别、进场顺序等条件分类有序摆放。</w:t>
      </w:r>
    </w:p>
    <w:p>
      <w:pPr>
        <w:pStyle w:val="null3"/>
        <w:ind w:firstLine="420"/>
        <w:jc w:val="both"/>
      </w:pPr>
      <w:r>
        <w:rPr>
          <w:sz w:val="24"/>
        </w:rPr>
        <w:t>13、乙方应制定与管理相适应的人员值班规范、钥匙管理规范、随车物品管理规范、场地安全防范规定等详细工作制度，保障场地安全、有序、规范运转，相关制度应当报甲方备案。</w:t>
      </w:r>
    </w:p>
    <w:p>
      <w:pPr>
        <w:pStyle w:val="null3"/>
        <w:ind w:firstLine="420"/>
        <w:jc w:val="both"/>
      </w:pPr>
      <w:r>
        <w:rPr>
          <w:sz w:val="24"/>
        </w:rPr>
        <w:t>14、乙方必须严格按照车辆接收程序接收车辆；场地内的车辆（含随车物品）需出场的，相关人员必须凭有效的放行凭证或勘验证明，并按放行程序办理手续后才能将车辆领出。</w:t>
      </w:r>
    </w:p>
    <w:p>
      <w:pPr>
        <w:pStyle w:val="null3"/>
        <w:ind w:firstLine="420"/>
        <w:jc w:val="both"/>
      </w:pPr>
      <w:r>
        <w:rPr>
          <w:sz w:val="24"/>
        </w:rPr>
        <w:t>15、对于符合拆解、拍卖等条件的涉案车辆，乙方经甲方通知后及时核查清点，期间应采取措施确保车辆安全。</w:t>
      </w:r>
    </w:p>
    <w:p>
      <w:pPr>
        <w:pStyle w:val="null3"/>
        <w:ind w:firstLine="420"/>
        <w:jc w:val="both"/>
      </w:pPr>
      <w:r>
        <w:rPr>
          <w:sz w:val="24"/>
        </w:rPr>
        <w:t>16、场地实施24小时值班制度，</w:t>
      </w:r>
      <w:r>
        <w:rPr>
          <w:sz w:val="24"/>
          <w:color w:val="000000"/>
        </w:rPr>
        <w:t>仙村和中新镇的场地要求不少于12人（含8名保安和4名其他工作人员），非工作时间不少于2人在岗；派潭的场地不少于6人（含4名保安和2名其他工作人员），非工作时间不少于1人在岗</w:t>
      </w:r>
      <w:r>
        <w:rPr>
          <w:sz w:val="24"/>
        </w:rPr>
        <w:t>。服务人员需胜任本职工作且无犯罪记录，并确保场地正常运作，乙方必须于合同签订后提供场地管理人员的劳动合同及社保证明，并在合同实施后1个月内连同各场地管理人员名册提交甲方备案。停车场负责办理车辆出库岗位（对外业务窗口）的工作时间：正常工作日为9:00时－12:00时，13:00-17: 00（周一至周五），节假日9:00时－14:00时。</w:t>
      </w:r>
    </w:p>
    <w:p>
      <w:pPr>
        <w:pStyle w:val="null3"/>
        <w:ind w:firstLine="420"/>
        <w:jc w:val="both"/>
      </w:pPr>
      <w:r>
        <w:rPr>
          <w:sz w:val="24"/>
        </w:rPr>
        <w:t>17、乙方要加强停车场人员思想教育，提升窗口服务态度，停车场服务人员要着装统一严整、语言文明，杜绝冷、硬、横、推、拖等不良态度，避免引起群众不满意投诉事件。</w:t>
      </w:r>
    </w:p>
    <w:p>
      <w:pPr>
        <w:pStyle w:val="null3"/>
        <w:ind w:firstLine="422"/>
        <w:jc w:val="both"/>
      </w:pPr>
      <w:r>
        <w:rPr>
          <w:sz w:val="24"/>
          <w:b/>
          <w:color w:val="000000"/>
        </w:rPr>
        <w:t>五、停车场转场服务</w:t>
      </w:r>
    </w:p>
    <w:p>
      <w:pPr>
        <w:pStyle w:val="null3"/>
        <w:ind w:firstLine="420"/>
        <w:jc w:val="both"/>
      </w:pPr>
      <w:r>
        <w:rPr>
          <w:sz w:val="24"/>
          <w:color w:val="000000"/>
        </w:rPr>
        <w:t>1</w:t>
      </w:r>
      <w:r>
        <w:rPr>
          <w:sz w:val="24"/>
          <w:color w:val="000000"/>
        </w:rPr>
        <w:t>、因涉</w:t>
      </w:r>
      <w:r>
        <w:rPr>
          <w:sz w:val="24"/>
        </w:rPr>
        <w:t>案停车场期满产生新标的涉案停车场，乙方必须无条件配合甲方将上一周期涉案停车场车辆转移到新涉案停车场。并按照甲方要求做好交接手续，转场结束后提供拖吊车辆明细清单一式三份和电子数据给甲方。</w:t>
      </w:r>
    </w:p>
    <w:p>
      <w:pPr>
        <w:pStyle w:val="null3"/>
        <w:ind w:firstLine="420"/>
        <w:jc w:val="both"/>
      </w:pPr>
      <w:r>
        <w:rPr>
          <w:sz w:val="24"/>
        </w:rPr>
        <w:t>2、在拖移转场作业中，必须保护好被转场车辆及车上装备、物品和有关痕迹及拍照工作等，因转运不善造成车辆遗失或损坏、零部件缺失等，由乙方承担全部责任。</w:t>
      </w:r>
    </w:p>
    <w:p>
      <w:pPr>
        <w:pStyle w:val="null3"/>
        <w:ind w:firstLine="420"/>
        <w:jc w:val="both"/>
      </w:pPr>
      <w:r>
        <w:rPr>
          <w:sz w:val="24"/>
        </w:rPr>
        <w:t>3、乙方在拖移转场车辆时，发生私藏、占用、窃取公私财物等行为，应由乙方承担全部责任。</w:t>
      </w:r>
    </w:p>
    <w:p>
      <w:pPr>
        <w:pStyle w:val="null3"/>
        <w:ind w:firstLine="420"/>
        <w:jc w:val="both"/>
      </w:pPr>
      <w:r>
        <w:rPr>
          <w:sz w:val="24"/>
        </w:rPr>
        <w:t>4、拖移转场作业中，因违反工作规范和流程、措施不到位、操作失误等导致发生责任事故，乙方负全部责任。</w:t>
      </w:r>
    </w:p>
    <w:p>
      <w:pPr>
        <w:pStyle w:val="null3"/>
        <w:ind w:firstLine="420"/>
        <w:jc w:val="both"/>
      </w:pPr>
      <w:r>
        <w:rPr>
          <w:sz w:val="24"/>
        </w:rPr>
        <w:t>5、转移停车场</w:t>
      </w:r>
      <w:r>
        <w:rPr>
          <w:sz w:val="24"/>
          <w:color w:val="000000"/>
        </w:rPr>
        <w:t>内的违法和事故车辆时，不得影响日常工作。</w:t>
      </w:r>
    </w:p>
    <w:p>
      <w:pPr>
        <w:pStyle w:val="null3"/>
        <w:ind w:firstLine="422"/>
        <w:jc w:val="both"/>
      </w:pPr>
      <w:r>
        <w:rPr>
          <w:sz w:val="24"/>
          <w:b/>
          <w:color w:val="000000"/>
        </w:rPr>
        <w:t>六、其他要求</w:t>
      </w:r>
    </w:p>
    <w:p>
      <w:pPr>
        <w:pStyle w:val="null3"/>
        <w:ind w:firstLine="420"/>
      </w:pPr>
      <w:r>
        <w:rPr>
          <w:sz w:val="24"/>
          <w:color w:val="000000"/>
        </w:rPr>
        <w:t>（一）乙方必须在所提供服务的场地经甲方按采购建设需求全部验收通过之后</w:t>
      </w:r>
      <w:r>
        <w:rPr>
          <w:sz w:val="24"/>
          <w:color w:val="000000"/>
        </w:rPr>
        <w:t>20</w:t>
      </w:r>
      <w:r>
        <w:rPr>
          <w:sz w:val="24"/>
          <w:color w:val="000000"/>
        </w:rPr>
        <w:t>天内完成</w:t>
      </w:r>
      <w:r>
        <w:rPr>
          <w:sz w:val="24"/>
          <w:color w:val="000000"/>
        </w:rPr>
        <w:t>从甲方原委托单位场地内将现有涉案车辆转移到合同约定的由乙方提供服务的新场，相关费用由乙方承担。车辆、随车物品及档案资料等启动转场后，自离开上一周期委托单位停车场起，涉案车辆、随车物品及档案资料的保管工作由新周期的乙方负责，期间发生丢失、被盗、损坏的，将追究新周期的乙方法律和经济责任。</w:t>
      </w:r>
    </w:p>
    <w:p>
      <w:pPr>
        <w:pStyle w:val="null3"/>
        <w:ind w:firstLine="420"/>
      </w:pPr>
      <w:r>
        <w:rPr>
          <w:sz w:val="24"/>
          <w:color w:val="000000"/>
        </w:rPr>
        <w:t>（二）服务期满后，对于车场内现有的车辆及管理期间的全部档案资料，乙方必须无条件配合下一周期乙方在</w:t>
      </w:r>
      <w:r>
        <w:rPr>
          <w:sz w:val="24"/>
          <w:color w:val="000000"/>
        </w:rPr>
        <w:t>60</w:t>
      </w:r>
      <w:r>
        <w:rPr>
          <w:sz w:val="24"/>
          <w:color w:val="000000"/>
        </w:rPr>
        <w:t>天内移出。</w:t>
      </w:r>
      <w:r>
        <w:rPr>
          <w:sz w:val="24"/>
          <w:color w:val="000000"/>
        </w:rPr>
        <w:t>60</w:t>
      </w:r>
      <w:r>
        <w:rPr>
          <w:sz w:val="24"/>
          <w:color w:val="000000"/>
        </w:rPr>
        <w:t>天内车辆移出前，档案资料及场内涉案车辆的安全由本周期乙方负责，在此期间档案资料及车辆发生损坏、遗失、被盗的，将追究本周期乙方一切法律、经济责任。</w:t>
      </w:r>
    </w:p>
    <w:p>
      <w:pPr>
        <w:pStyle w:val="null3"/>
        <w:ind w:firstLine="420"/>
      </w:pPr>
      <w:r>
        <w:rPr>
          <w:sz w:val="24"/>
          <w:color w:val="000000"/>
        </w:rPr>
        <w:t>（三）乙方要遵守《中华人民共和国劳动法》的相关规定，按时支付工作人员工资，不得拖欠工人工资，因拖欠工资影响日常证据保存和车辆停放管理工作的，由此产生的经济损失及法律责任由乙方承担。</w:t>
      </w:r>
    </w:p>
    <w:p>
      <w:pPr>
        <w:pStyle w:val="null3"/>
        <w:ind w:firstLine="420"/>
      </w:pPr>
      <w:r>
        <w:rPr>
          <w:sz w:val="24"/>
          <w:color w:val="000000"/>
        </w:rPr>
        <w:t>（四）乙方应按照《中华人民共和国劳动法》的相关规定发放工资，作业人员工资不得低于广州市企业职工最低工资标准（工资不含按国家规定供应商必须支付的社会保险及其他应付费用）。</w:t>
      </w:r>
    </w:p>
    <w:p>
      <w:pPr>
        <w:pStyle w:val="null3"/>
        <w:ind w:firstLine="420"/>
      </w:pPr>
      <w:r>
        <w:rPr>
          <w:sz w:val="24"/>
          <w:color w:val="000000"/>
        </w:rPr>
        <w:t>（五）乙方应按照《中华人民共和国社会保险法》和《住房公积金管理条例》的相关规定，支付国家规定必须购买的社会保险费用和缴存住房公积金。</w:t>
      </w:r>
    </w:p>
    <w:p>
      <w:pPr>
        <w:pStyle w:val="null3"/>
        <w:ind w:firstLine="420"/>
        <w:jc w:val="both"/>
      </w:pPr>
      <w:r>
        <w:rPr>
          <w:sz w:val="24"/>
          <w:color w:val="000000"/>
        </w:rPr>
        <w:t>（六）乙方在有效期内为服务人员购买团体人身意外伤害保险的保险单及服务人员购买保安职业责任险的保险单。</w:t>
      </w:r>
    </w:p>
    <w:p>
      <w:pPr>
        <w:pStyle w:val="null3"/>
        <w:ind w:firstLine="422"/>
        <w:jc w:val="both"/>
      </w:pPr>
      <w:r>
        <w:rPr>
          <w:sz w:val="24"/>
          <w:b/>
        </w:rPr>
        <w:t>七</w:t>
      </w:r>
      <w:r>
        <w:rPr>
          <w:sz w:val="24"/>
          <w:b/>
          <w:color w:val="000000"/>
        </w:rPr>
        <w:t>、服务检查</w:t>
      </w:r>
    </w:p>
    <w:p>
      <w:pPr>
        <w:pStyle w:val="null3"/>
        <w:ind w:firstLine="422"/>
        <w:jc w:val="both"/>
      </w:pPr>
      <w:r>
        <w:rPr>
          <w:sz w:val="24"/>
          <w:b/>
          <w:color w:val="000000"/>
        </w:rPr>
        <w:t>（一）考评管理要求说明</w:t>
      </w:r>
    </w:p>
    <w:p>
      <w:pPr>
        <w:pStyle w:val="null3"/>
        <w:ind w:firstLine="420"/>
        <w:jc w:val="both"/>
      </w:pPr>
      <w:r>
        <w:rPr>
          <w:sz w:val="24"/>
          <w:color w:val="000000"/>
        </w:rPr>
        <w:t>1</w:t>
      </w:r>
      <w:r>
        <w:rPr>
          <w:sz w:val="24"/>
          <w:color w:val="000000"/>
        </w:rPr>
        <w:t>、乙方在合同期间违反法律法规、《合同》及本管理办法规定的，甲方有权追究乙方的责任，造成的损失全部由乙方负责。</w:t>
      </w:r>
    </w:p>
    <w:p>
      <w:pPr>
        <w:pStyle w:val="null3"/>
        <w:ind w:firstLine="420"/>
        <w:jc w:val="both"/>
      </w:pPr>
      <w:r>
        <w:rPr>
          <w:sz w:val="24"/>
          <w:color w:val="000000"/>
        </w:rPr>
        <w:t>2</w:t>
      </w:r>
      <w:r>
        <w:rPr>
          <w:sz w:val="24"/>
          <w:color w:val="000000"/>
        </w:rPr>
        <w:t>、乙方如出现重大违规事件（如违反作业规范造成较大责任事故以上），甲方不支付当月服务费用，由此造成的损失由乙方负责。</w:t>
      </w:r>
    </w:p>
    <w:p>
      <w:pPr>
        <w:pStyle w:val="null3"/>
        <w:ind w:firstLine="420"/>
        <w:jc w:val="both"/>
      </w:pPr>
      <w:r>
        <w:rPr>
          <w:sz w:val="24"/>
          <w:color w:val="000000"/>
        </w:rPr>
        <w:t>3</w:t>
      </w:r>
      <w:r>
        <w:rPr>
          <w:sz w:val="24"/>
          <w:color w:val="000000"/>
        </w:rPr>
        <w:t>、甲方每月对乙方的服务情况进行考评考核，并按考评结果支付服务费用；考评表评分按百分制，每一个月为一个计分周期，当月得分低于60分的，视为不合格，当月服务费用不予支付，甲方可单方面解除合同，由此造成的经济损失和法律责任，由乙方自行承担。甲方有权视情节进行违约追责。</w:t>
      </w:r>
    </w:p>
    <w:p>
      <w:pPr>
        <w:pStyle w:val="null3"/>
        <w:ind w:firstLine="422"/>
        <w:jc w:val="both"/>
      </w:pPr>
      <w:r>
        <w:rPr>
          <w:sz w:val="24"/>
          <w:b/>
          <w:color w:val="000000"/>
        </w:rPr>
        <w:t>（二）考评条款（甲方将不定期组织工作人员对本项目的工作完成情况进行考评）</w:t>
      </w:r>
    </w:p>
    <w:p>
      <w:pPr>
        <w:pStyle w:val="null3"/>
        <w:ind w:firstLine="420"/>
        <w:jc w:val="both"/>
      </w:pPr>
      <w:r>
        <w:rPr>
          <w:sz w:val="24"/>
          <w:color w:val="000000"/>
        </w:rPr>
        <w:t>1</w:t>
      </w:r>
      <w:r>
        <w:rPr>
          <w:sz w:val="24"/>
          <w:color w:val="000000"/>
        </w:rPr>
        <w:t>、私自放行车辆的或监守自盗车辆的，每发现一辆扣10分。</w:t>
      </w:r>
    </w:p>
    <w:p>
      <w:pPr>
        <w:pStyle w:val="null3"/>
        <w:ind w:firstLine="420"/>
        <w:jc w:val="both"/>
      </w:pPr>
      <w:r>
        <w:rPr>
          <w:sz w:val="24"/>
          <w:color w:val="000000"/>
        </w:rPr>
        <w:t>2</w:t>
      </w:r>
      <w:r>
        <w:rPr>
          <w:sz w:val="24"/>
          <w:color w:val="000000"/>
        </w:rPr>
        <w:t>、遗失车辆（含管理不善造成车辆被盗）的，由供应商赔偿当事人损失。如赔偿不能解决，当事人进行投诉的，每发现一宗扣5分。</w:t>
      </w:r>
    </w:p>
    <w:p>
      <w:pPr>
        <w:pStyle w:val="null3"/>
        <w:ind w:firstLine="420"/>
        <w:jc w:val="both"/>
      </w:pPr>
      <w:r>
        <w:rPr>
          <w:sz w:val="24"/>
          <w:color w:val="000000"/>
        </w:rPr>
        <w:t>3</w:t>
      </w:r>
      <w:r>
        <w:rPr>
          <w:sz w:val="24"/>
          <w:color w:val="000000"/>
        </w:rPr>
        <w:t>、私自使用车辆的（不含场内因摆放、移库工作移动车辆的情形），每发现一次扣6分。</w:t>
      </w:r>
    </w:p>
    <w:p>
      <w:pPr>
        <w:pStyle w:val="null3"/>
        <w:ind w:firstLine="420"/>
        <w:jc w:val="both"/>
      </w:pPr>
      <w:r>
        <w:rPr>
          <w:sz w:val="24"/>
          <w:color w:val="000000"/>
        </w:rPr>
        <w:t>4</w:t>
      </w:r>
      <w:r>
        <w:rPr>
          <w:sz w:val="24"/>
          <w:color w:val="000000"/>
        </w:rPr>
        <w:t>、向涉案车辆当事人收取车辆照相、拓印、复印或充电等费用的，每发现一次扣10分。</w:t>
      </w:r>
    </w:p>
    <w:p>
      <w:pPr>
        <w:pStyle w:val="null3"/>
        <w:ind w:firstLine="420"/>
        <w:jc w:val="both"/>
      </w:pPr>
      <w:r>
        <w:rPr>
          <w:sz w:val="24"/>
          <w:color w:val="000000"/>
        </w:rPr>
        <w:t>5</w:t>
      </w:r>
      <w:r>
        <w:rPr>
          <w:sz w:val="24"/>
          <w:color w:val="000000"/>
        </w:rPr>
        <w:t>、与拖吊车工作人员或甲方派驻的管理人员勾结谋取不正当利益的，每发现一次扣5分。</w:t>
      </w:r>
    </w:p>
    <w:p>
      <w:pPr>
        <w:pStyle w:val="null3"/>
        <w:ind w:firstLine="420"/>
        <w:jc w:val="both"/>
      </w:pPr>
      <w:r>
        <w:rPr>
          <w:sz w:val="24"/>
          <w:color w:val="000000"/>
        </w:rPr>
        <w:t>6</w:t>
      </w:r>
      <w:r>
        <w:rPr>
          <w:sz w:val="24"/>
          <w:color w:val="000000"/>
        </w:rPr>
        <w:t>、未经甲方允许私自拆解车辆的，每发现一辆扣10分。</w:t>
      </w:r>
    </w:p>
    <w:p>
      <w:pPr>
        <w:pStyle w:val="null3"/>
        <w:ind w:firstLine="420"/>
        <w:jc w:val="both"/>
      </w:pPr>
      <w:r>
        <w:rPr>
          <w:sz w:val="24"/>
          <w:color w:val="000000"/>
        </w:rPr>
        <w:t>7</w:t>
      </w:r>
      <w:r>
        <w:rPr>
          <w:sz w:val="24"/>
          <w:color w:val="000000"/>
        </w:rPr>
        <w:t>、非法处理拆解所得电池、抽取油品的，发现一宗扣5分。</w:t>
      </w:r>
    </w:p>
    <w:p>
      <w:pPr>
        <w:pStyle w:val="null3"/>
        <w:ind w:firstLine="420"/>
        <w:jc w:val="both"/>
      </w:pPr>
      <w:r>
        <w:rPr>
          <w:sz w:val="24"/>
          <w:color w:val="000000"/>
        </w:rPr>
        <w:t>8</w:t>
      </w:r>
      <w:r>
        <w:rPr>
          <w:sz w:val="24"/>
          <w:color w:val="000000"/>
        </w:rPr>
        <w:t>、出售拆解、拍卖等汽车“五大总成”的，发现一宗扣5分。</w:t>
      </w:r>
    </w:p>
    <w:p>
      <w:pPr>
        <w:pStyle w:val="null3"/>
        <w:ind w:firstLine="420"/>
        <w:jc w:val="both"/>
      </w:pPr>
      <w:r>
        <w:rPr>
          <w:sz w:val="24"/>
          <w:color w:val="000000"/>
        </w:rPr>
        <w:t>9</w:t>
      </w:r>
      <w:r>
        <w:rPr>
          <w:sz w:val="24"/>
          <w:color w:val="000000"/>
        </w:rPr>
        <w:t>、盗取随车物品或车辆零配件的，每发现一宗扣3分。</w:t>
      </w:r>
    </w:p>
    <w:p>
      <w:pPr>
        <w:pStyle w:val="null3"/>
        <w:ind w:firstLine="420"/>
        <w:jc w:val="both"/>
      </w:pPr>
      <w:r>
        <w:rPr>
          <w:sz w:val="24"/>
          <w:color w:val="000000"/>
        </w:rPr>
        <w:t>10</w:t>
      </w:r>
      <w:r>
        <w:rPr>
          <w:sz w:val="24"/>
          <w:color w:val="000000"/>
        </w:rPr>
        <w:t>、乙方提供的每个保管车场内部均需建设一段长50米以上、宽3.5米以上的水泥路，方便日常车辆的出入和便于涉案车辆日常管理。新合同履行后三个月内完成水泥路的建设,每逾期1个月完成扣1分。</w:t>
      </w:r>
    </w:p>
    <w:p>
      <w:pPr>
        <w:pStyle w:val="null3"/>
        <w:ind w:firstLine="420"/>
        <w:jc w:val="both"/>
      </w:pPr>
      <w:r>
        <w:rPr>
          <w:sz w:val="24"/>
          <w:color w:val="000000"/>
        </w:rPr>
        <w:t>11</w:t>
      </w:r>
      <w:r>
        <w:rPr>
          <w:sz w:val="24"/>
          <w:color w:val="000000"/>
        </w:rPr>
        <w:t>、车辆保管服务的场地须为平整的硬质地面，具有排水功能，不得有杂草。每发现一处面积0.5平方以上的水坑扣0.1分、发现杂草覆盖面积以每0.5平方扣0.1分的标准进行扣分，该分值可以叠加。</w:t>
      </w:r>
    </w:p>
    <w:p>
      <w:pPr>
        <w:pStyle w:val="null3"/>
        <w:ind w:firstLine="420"/>
        <w:jc w:val="both"/>
      </w:pPr>
      <w:r>
        <w:rPr>
          <w:sz w:val="24"/>
          <w:color w:val="000000"/>
        </w:rPr>
        <w:t>12</w:t>
      </w:r>
      <w:r>
        <w:rPr>
          <w:sz w:val="24"/>
          <w:color w:val="000000"/>
        </w:rPr>
        <w:t>、因以上9条情形其中引起媒体曝光、炒作且造成严重负面影响的，扣12分。</w:t>
      </w:r>
    </w:p>
    <w:p>
      <w:pPr>
        <w:pStyle w:val="null3"/>
        <w:ind w:firstLine="420"/>
        <w:jc w:val="both"/>
      </w:pPr>
      <w:r>
        <w:rPr>
          <w:sz w:val="24"/>
          <w:color w:val="000000"/>
        </w:rPr>
        <w:t>13</w:t>
      </w:r>
      <w:r>
        <w:rPr>
          <w:sz w:val="24"/>
          <w:color w:val="000000"/>
        </w:rPr>
        <w:t>、不按甲方交接要求接收或擅自转移车辆的，发现一宗扣1.5分。</w:t>
      </w:r>
    </w:p>
    <w:p>
      <w:pPr>
        <w:pStyle w:val="null3"/>
        <w:ind w:firstLine="420"/>
        <w:jc w:val="both"/>
      </w:pPr>
      <w:r>
        <w:rPr>
          <w:sz w:val="24"/>
          <w:color w:val="000000"/>
        </w:rPr>
        <w:t>14</w:t>
      </w:r>
      <w:r>
        <w:rPr>
          <w:sz w:val="24"/>
          <w:color w:val="000000"/>
        </w:rPr>
        <w:t>、不按规定及时协助制作涉案车辆一车一档相关工作（原则上车辆进场最迟72小时内要完成车辆发动机和车架号码拓印工作）或不按规定登记车辆进、出场台帐的，发现一宗扣1.5分。</w:t>
      </w:r>
    </w:p>
    <w:p>
      <w:pPr>
        <w:pStyle w:val="null3"/>
        <w:ind w:firstLine="420"/>
        <w:jc w:val="both"/>
      </w:pPr>
      <w:r>
        <w:rPr>
          <w:sz w:val="24"/>
          <w:color w:val="000000"/>
        </w:rPr>
        <w:t>15</w:t>
      </w:r>
      <w:r>
        <w:rPr>
          <w:sz w:val="24"/>
          <w:color w:val="000000"/>
        </w:rPr>
        <w:t>、因管理不善造成车辆损坏的（需长期堆放的车辆除外），由乙方赔偿当事人损失。如赔偿不能解决，当事人进行投诉的，每次扣2分；</w:t>
      </w:r>
    </w:p>
    <w:p>
      <w:pPr>
        <w:pStyle w:val="null3"/>
        <w:ind w:firstLine="420"/>
        <w:jc w:val="both"/>
      </w:pPr>
      <w:r>
        <w:rPr>
          <w:sz w:val="24"/>
          <w:color w:val="000000"/>
        </w:rPr>
        <w:t>16</w:t>
      </w:r>
      <w:r>
        <w:rPr>
          <w:sz w:val="24"/>
          <w:color w:val="000000"/>
        </w:rPr>
        <w:t>、收到政府征用土地等政策性通知后未能于5个工作日内书面通知甲方主管部门的，发现一次扣2分。</w:t>
      </w:r>
    </w:p>
    <w:p>
      <w:pPr>
        <w:pStyle w:val="null3"/>
        <w:ind w:firstLine="420"/>
        <w:jc w:val="both"/>
      </w:pPr>
      <w:r>
        <w:rPr>
          <w:sz w:val="24"/>
          <w:color w:val="000000"/>
        </w:rPr>
        <w:t>17</w:t>
      </w:r>
      <w:r>
        <w:rPr>
          <w:sz w:val="24"/>
          <w:color w:val="000000"/>
        </w:rPr>
        <w:t>、不按规定信息录入信息的，发现一宗扣1.5分。</w:t>
      </w:r>
    </w:p>
    <w:p>
      <w:pPr>
        <w:pStyle w:val="null3"/>
        <w:ind w:firstLine="420"/>
        <w:jc w:val="both"/>
      </w:pPr>
      <w:r>
        <w:rPr>
          <w:sz w:val="24"/>
          <w:color w:val="000000"/>
        </w:rPr>
        <w:t>18</w:t>
      </w:r>
      <w:r>
        <w:rPr>
          <w:sz w:val="24"/>
          <w:color w:val="000000"/>
        </w:rPr>
        <w:t>、遗失车辆钥匙的，由乙方赔偿当事人损失。如赔偿不能解决，当事人进行投诉的，每发现一宗扣1.5分。</w:t>
      </w:r>
    </w:p>
    <w:p>
      <w:pPr>
        <w:pStyle w:val="null3"/>
        <w:ind w:firstLine="420"/>
        <w:jc w:val="both"/>
      </w:pPr>
      <w:r>
        <w:rPr>
          <w:sz w:val="24"/>
          <w:color w:val="000000"/>
        </w:rPr>
        <w:t>19</w:t>
      </w:r>
      <w:r>
        <w:rPr>
          <w:sz w:val="24"/>
          <w:color w:val="000000"/>
        </w:rPr>
        <w:t>、出现如下情形的，每发现一宗扣1分：</w:t>
      </w:r>
    </w:p>
    <w:p>
      <w:pPr>
        <w:pStyle w:val="null3"/>
        <w:ind w:firstLine="420"/>
        <w:jc w:val="both"/>
      </w:pPr>
      <w:r>
        <w:rPr>
          <w:sz w:val="24"/>
          <w:color w:val="000000"/>
        </w:rPr>
        <w:t>(1</w:t>
      </w:r>
      <w:r>
        <w:rPr>
          <w:sz w:val="24"/>
          <w:color w:val="000000"/>
        </w:rPr>
        <w:t>）消防、监控、排涝等设施不能正常运作或围蔽设施不完善的；</w:t>
      </w:r>
    </w:p>
    <w:p>
      <w:pPr>
        <w:pStyle w:val="null3"/>
        <w:ind w:firstLine="420"/>
        <w:jc w:val="both"/>
      </w:pPr>
      <w:r>
        <w:rPr>
          <w:sz w:val="24"/>
          <w:color w:val="000000"/>
        </w:rPr>
        <w:t>(2</w:t>
      </w:r>
      <w:r>
        <w:rPr>
          <w:sz w:val="24"/>
          <w:color w:val="000000"/>
        </w:rPr>
        <w:t>）未按一般场地的消防要求配备足量的灭火器材的，或未按一般场地安装足够的照明设施的；</w:t>
      </w:r>
    </w:p>
    <w:p>
      <w:pPr>
        <w:pStyle w:val="null3"/>
        <w:ind w:firstLine="420"/>
        <w:jc w:val="both"/>
      </w:pPr>
      <w:r>
        <w:rPr>
          <w:sz w:val="24"/>
          <w:color w:val="000000"/>
        </w:rPr>
        <w:t>(3</w:t>
      </w:r>
      <w:r>
        <w:rPr>
          <w:sz w:val="24"/>
          <w:color w:val="000000"/>
        </w:rPr>
        <w:t>）场地管理人员不对进场领取车辆的车辆领取人采取人防监督措施的；</w:t>
      </w:r>
    </w:p>
    <w:p>
      <w:pPr>
        <w:pStyle w:val="null3"/>
        <w:ind w:firstLine="420"/>
        <w:jc w:val="both"/>
      </w:pPr>
      <w:r>
        <w:rPr>
          <w:sz w:val="24"/>
          <w:color w:val="000000"/>
        </w:rPr>
        <w:t>(4</w:t>
      </w:r>
      <w:r>
        <w:rPr>
          <w:sz w:val="24"/>
          <w:color w:val="000000"/>
        </w:rPr>
        <w:t>）乙方不按要求对车辆钥匙和物品按单位、类别、进场顺序等条件分类有效入柜摆放的；</w:t>
      </w:r>
    </w:p>
    <w:p>
      <w:pPr>
        <w:pStyle w:val="null3"/>
        <w:ind w:firstLine="420"/>
        <w:jc w:val="both"/>
      </w:pPr>
      <w:r>
        <w:rPr>
          <w:sz w:val="24"/>
          <w:color w:val="000000"/>
        </w:rPr>
        <w:t>(5</w:t>
      </w:r>
      <w:r>
        <w:rPr>
          <w:sz w:val="24"/>
          <w:color w:val="000000"/>
        </w:rPr>
        <w:t>）乙方场地管理人员不按规定着装的；</w:t>
      </w:r>
    </w:p>
    <w:p>
      <w:pPr>
        <w:pStyle w:val="null3"/>
        <w:ind w:firstLine="420"/>
        <w:jc w:val="both"/>
      </w:pPr>
      <w:r>
        <w:rPr>
          <w:sz w:val="24"/>
          <w:color w:val="000000"/>
        </w:rPr>
        <w:t>(6</w:t>
      </w:r>
      <w:r>
        <w:rPr>
          <w:sz w:val="24"/>
          <w:color w:val="000000"/>
        </w:rPr>
        <w:t>）违反经甲方与乙方在服务期间商定书面事项的（指双方会签的管理工作会议纪要）；</w:t>
      </w:r>
    </w:p>
    <w:p>
      <w:pPr>
        <w:pStyle w:val="null3"/>
        <w:ind w:firstLine="420"/>
        <w:jc w:val="both"/>
      </w:pPr>
      <w:r>
        <w:rPr>
          <w:sz w:val="24"/>
          <w:color w:val="000000"/>
        </w:rPr>
        <w:t>以上“车辆” 均指甲方委托乙方管理的“涉案车辆”，考评的对象为乙方（含乙方派出的管理人员）。</w:t>
      </w:r>
    </w:p>
    <w:p>
      <w:pPr>
        <w:pStyle w:val="null3"/>
        <w:ind w:firstLine="420"/>
        <w:jc w:val="both"/>
      </w:pPr>
      <w:r>
        <w:rPr>
          <w:sz w:val="24"/>
          <w:color w:val="000000"/>
        </w:rPr>
        <w:t>20</w:t>
      </w:r>
      <w:r>
        <w:rPr>
          <w:sz w:val="24"/>
          <w:color w:val="000000"/>
        </w:rPr>
        <w:t>、发生消防或环境安全生产事故的并造成严重影响的， 每一次扣5分。</w:t>
      </w:r>
    </w:p>
    <w:p>
      <w:pPr>
        <w:pStyle w:val="null3"/>
        <w:ind w:firstLine="420"/>
        <w:jc w:val="both"/>
      </w:pPr>
      <w:r>
        <w:rPr>
          <w:sz w:val="24"/>
          <w:color w:val="000000"/>
        </w:rPr>
        <w:t>(1</w:t>
      </w:r>
      <w:r>
        <w:rPr>
          <w:sz w:val="24"/>
          <w:color w:val="000000"/>
        </w:rPr>
        <w:t>）根据存在问题，甲方对乙方发出《整改通知书》（附件1），要求限期整改。乙方应在规定限期内实施整改，并将整改的情况书面报甲方。</w:t>
      </w:r>
    </w:p>
    <w:p>
      <w:pPr>
        <w:pStyle w:val="null3"/>
        <w:ind w:firstLine="420"/>
        <w:jc w:val="both"/>
      </w:pPr>
      <w:r>
        <w:rPr>
          <w:sz w:val="24"/>
          <w:color w:val="000000"/>
        </w:rPr>
        <w:t>(2</w:t>
      </w:r>
      <w:r>
        <w:rPr>
          <w:sz w:val="24"/>
          <w:color w:val="000000"/>
        </w:rPr>
        <w:t>）甲方每月月底制作《月度考评总表》（附件2），作为结算依据。</w:t>
      </w:r>
    </w:p>
    <w:p>
      <w:pPr>
        <w:pStyle w:val="null3"/>
        <w:ind w:firstLine="420"/>
        <w:jc w:val="both"/>
      </w:pPr>
      <w:r>
        <w:rPr>
          <w:sz w:val="24"/>
          <w:color w:val="000000"/>
        </w:rPr>
        <w:t>21</w:t>
      </w:r>
      <w:r>
        <w:rPr>
          <w:sz w:val="24"/>
          <w:color w:val="000000"/>
        </w:rPr>
        <w:t>、甲方发现乙方提供保管服务的停车场挪作其他用途的，每发现一宗，200平方米以下的扣5分，200至1000平方米的扣10分，1000平方米以上的扣20分。</w:t>
      </w:r>
    </w:p>
    <w:p>
      <w:pPr>
        <w:pStyle w:val="null3"/>
        <w:ind w:firstLine="420"/>
        <w:jc w:val="both"/>
      </w:pPr>
      <w:r>
        <w:rPr>
          <w:sz w:val="24"/>
          <w:color w:val="000000"/>
        </w:rPr>
        <w:t>22</w:t>
      </w:r>
      <w:r>
        <w:rPr>
          <w:sz w:val="24"/>
          <w:color w:val="000000"/>
        </w:rPr>
        <w:t>、当甲方提供的8.2万平方米的停车场实际使用面积达到总面积的70%、80%、90%时，乙方不主动配合立即 （最迟不超过2个工作日）向甲方书面报告的，每发现一次扣6分。</w:t>
      </w:r>
    </w:p>
    <w:p>
      <w:pPr>
        <w:pStyle w:val="null3"/>
        <w:ind w:firstLine="422"/>
        <w:jc w:val="both"/>
      </w:pPr>
      <w:r>
        <w:rPr>
          <w:sz w:val="24"/>
          <w:b/>
        </w:rPr>
        <w:t>八、服务期限</w:t>
      </w:r>
    </w:p>
    <w:p>
      <w:pPr>
        <w:pStyle w:val="null3"/>
        <w:ind w:firstLine="420"/>
        <w:jc w:val="both"/>
      </w:pPr>
      <w:r>
        <w:rPr>
          <w:sz w:val="24"/>
        </w:rPr>
        <w:t>合同签订起两年，或合同结算金额达到本采购包预算金额时，以上述先到者为准。</w:t>
      </w:r>
    </w:p>
    <w:p>
      <w:pPr>
        <w:pStyle w:val="null3"/>
        <w:ind w:firstLine="422"/>
        <w:jc w:val="both"/>
      </w:pPr>
      <w:r>
        <w:rPr>
          <w:sz w:val="24"/>
          <w:b/>
        </w:rPr>
        <w:t>九、合同金额及结算要求</w:t>
      </w:r>
    </w:p>
    <w:p>
      <w:pPr>
        <w:pStyle w:val="null3"/>
        <w:ind w:firstLine="420"/>
        <w:jc w:val="both"/>
      </w:pPr>
      <w:r>
        <w:rPr>
          <w:sz w:val="24"/>
        </w:rPr>
        <w:t>（一）合同金额为（大写）：_</w:t>
      </w:r>
      <w:r>
        <w:rPr>
          <w:sz w:val="24"/>
          <w:u w:val="single"/>
        </w:rPr>
        <w:t xml:space="preserve">            </w:t>
      </w:r>
      <w:r>
        <w:rPr>
          <w:sz w:val="24"/>
        </w:rPr>
        <w:t>万元整（￥_</w:t>
      </w:r>
      <w:r>
        <w:rPr>
          <w:sz w:val="24"/>
          <w:u w:val="single"/>
        </w:rPr>
        <w:t xml:space="preserve">            </w:t>
      </w:r>
      <w:r>
        <w:rPr>
          <w:sz w:val="24"/>
        </w:rPr>
        <w:t>元）。其中：场地改造费用_</w:t>
      </w:r>
      <w:r>
        <w:rPr>
          <w:sz w:val="24"/>
          <w:u w:val="single"/>
        </w:rPr>
        <w:t xml:space="preserve">            </w:t>
      </w:r>
      <w:r>
        <w:rPr>
          <w:sz w:val="24"/>
        </w:rPr>
        <w:t>万元整（￥_</w:t>
      </w:r>
      <w:r>
        <w:rPr>
          <w:sz w:val="24"/>
          <w:u w:val="single"/>
        </w:rPr>
        <w:t xml:space="preserve">            </w:t>
      </w:r>
      <w:r>
        <w:rPr>
          <w:sz w:val="24"/>
        </w:rPr>
        <w:t>元），车辆搬迁费折扣率：</w:t>
      </w:r>
      <w:r>
        <w:rPr>
          <w:sz w:val="24"/>
          <w:u w:val="single"/>
        </w:rPr>
        <w:t xml:space="preserve">    </w:t>
      </w:r>
      <w:r>
        <w:rPr>
          <w:sz w:val="24"/>
        </w:rPr>
        <w:t>%，证据保存车辆保管服务费单价：</w:t>
      </w:r>
      <w:r>
        <w:rPr>
          <w:sz w:val="24"/>
          <w:u w:val="single"/>
        </w:rPr>
        <w:t xml:space="preserve">      </w:t>
      </w:r>
      <w:r>
        <w:rPr>
          <w:sz w:val="24"/>
          <w:color w:val="000000"/>
        </w:rPr>
        <w:t>元/平方米/月（含管理过程中产生的应由管理方承担相关费用）</w:t>
      </w:r>
    </w:p>
    <w:p>
      <w:pPr>
        <w:pStyle w:val="null3"/>
        <w:ind w:firstLine="420"/>
        <w:jc w:val="both"/>
      </w:pPr>
      <w:r>
        <w:rPr>
          <w:sz w:val="24"/>
          <w:color w:val="000000"/>
        </w:rPr>
        <w:t>（二）车辆搬迁费各搬迁车辆的最高单价限价：</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10"/>
        <w:gridCol w:w="5717"/>
        <w:gridCol w:w="1696"/>
        <w:gridCol w:w="0"/>
      </w:tblGrid>
      <w:tr>
        <w:tc>
          <w:tcPr>
            <w:tcW w:type="dxa" w:w="8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57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服务类别</w:t>
            </w:r>
          </w:p>
        </w:tc>
        <w:tc>
          <w:tcPr>
            <w:tcW w:type="dxa" w:w="16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最高单价限价（元/辆）</w:t>
            </w:r>
          </w:p>
        </w:tc>
        <w:tc>
          <w:tcPr>
            <w:tcW w:type="dxa" w:w="0"/>
            <w:tcBorders>
              <w:top w:val="none" w:color="000000" w:sz="4"/>
              <w:left w:val="none" w:color="000000" w:sz="4"/>
              <w:bottom w:val="none" w:color="000000" w:sz="4"/>
              <w:right w:val="none" w:color="000000" w:sz="4"/>
            </w:tcBorders>
          </w:tcPr>
          <w:p/>
        </w:tc>
      </w:tr>
      <w:tr>
        <w:tc>
          <w:tcPr>
            <w:tcW w:type="dxa" w:w="810"/>
            <w:vMerge/>
            <w:tcBorders>
              <w:top w:val="single" w:color="000000" w:sz="4"/>
              <w:left w:val="single" w:color="000000" w:sz="4"/>
              <w:bottom w:val="single" w:color="000000" w:sz="4"/>
              <w:right w:val="single" w:color="000000" w:sz="4"/>
            </w:tcBorders>
          </w:tcPr>
          <w:p/>
        </w:tc>
        <w:tc>
          <w:tcPr>
            <w:tcW w:type="dxa" w:w="5717"/>
            <w:vMerge/>
            <w:tcBorders>
              <w:top w:val="single" w:color="000000" w:sz="4"/>
              <w:left w:val="none" w:color="000000" w:sz="4"/>
              <w:bottom w:val="single" w:color="000000" w:sz="4"/>
              <w:right w:val="single" w:color="000000" w:sz="4"/>
            </w:tcBorders>
          </w:tcPr>
          <w:p/>
        </w:tc>
        <w:tc>
          <w:tcPr>
            <w:tcW w:type="dxa" w:w="1696"/>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无动力装置的二轮车（包括自行车、手推车、手拖车、平板车、大板车、无电池的电动车等）</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12.6</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有动力装置的二轮车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三轮车（包括三轮摩托车、三轮电动车、人力三轮车、加装动力装置的三轮车、黄包车及残疾人专用机动车）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108</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r>
              <w:rPr>
                <w:sz w:val="24"/>
                <w:color w:val="000000"/>
              </w:rPr>
              <w:t>座以下（含7座）客车、2吨（含2吨）以下货车及四轮（含四轮）以上载人电瓶车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324</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r>
              <w:rPr>
                <w:sz w:val="24"/>
                <w:color w:val="000000"/>
              </w:rPr>
              <w:t>座以上至19座（含19座）以下客车、2吨以上至5吨（含5吨）货车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405</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r>
              <w:rPr>
                <w:sz w:val="24"/>
                <w:color w:val="000000"/>
              </w:rPr>
              <w:t>座以上至39座（含39座）以下客车、5吨以上至10吨（含10吨）货车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486</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r>
              <w:rPr>
                <w:sz w:val="24"/>
                <w:color w:val="000000"/>
              </w:rPr>
              <w:t>座（含40座）以上客车、10吨以上至15吨（含15吨）货车、20英尺集装箱车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567</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r>
              <w:rPr>
                <w:sz w:val="24"/>
                <w:color w:val="000000"/>
              </w:rPr>
              <w:t>吨以上至35吨（含35吨）货车、40英尺集装箱车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648</w:t>
            </w:r>
          </w:p>
        </w:tc>
        <w:tc>
          <w:tcPr>
            <w:tcW w:type="dxa" w:w="0"/>
            <w:tcBorders>
              <w:top w:val="none" w:color="000000" w:sz="4"/>
              <w:left w:val="none" w:color="000000" w:sz="4"/>
              <w:bottom w:val="none" w:color="000000" w:sz="4"/>
              <w:right w:val="none" w:color="000000" w:sz="4"/>
            </w:tcBorders>
          </w:tc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w:t>
            </w:r>
          </w:p>
        </w:tc>
        <w:tc>
          <w:tcPr>
            <w:tcW w:type="dxa" w:w="5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r>
              <w:rPr>
                <w:sz w:val="24"/>
                <w:color w:val="000000"/>
              </w:rPr>
              <w:t>吨以上货车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729</w:t>
            </w:r>
          </w:p>
        </w:tc>
        <w:tc>
          <w:tcPr>
            <w:tcW w:type="dxa" w:w="0"/>
            <w:tcBorders>
              <w:top w:val="none" w:color="000000" w:sz="4"/>
              <w:left w:val="none" w:color="000000" w:sz="4"/>
              <w:bottom w:val="none" w:color="000000" w:sz="4"/>
              <w:right w:val="none" w:color="000000" w:sz="4"/>
            </w:tcBorders>
          </w:tcPr>
          <w:p/>
        </w:tc>
      </w:tr>
    </w:tbl>
    <w:p>
      <w:pPr>
        <w:pStyle w:val="null3"/>
        <w:ind w:firstLine="422"/>
      </w:pPr>
      <w:r>
        <w:rPr>
          <w:sz w:val="24"/>
          <w:b/>
          <w:color w:val="000000"/>
        </w:rPr>
        <w:t>十、结算及考评要求</w:t>
      </w:r>
    </w:p>
    <w:p>
      <w:pPr>
        <w:pStyle w:val="null3"/>
        <w:ind w:firstLine="420"/>
      </w:pPr>
      <w:r>
        <w:rPr>
          <w:sz w:val="24"/>
          <w:color w:val="000000"/>
        </w:rPr>
        <w:t>（一）结算要求</w:t>
      </w:r>
    </w:p>
    <w:p>
      <w:pPr>
        <w:pStyle w:val="null3"/>
        <w:ind w:firstLine="420"/>
      </w:pPr>
      <w:r>
        <w:rPr>
          <w:sz w:val="24"/>
          <w:color w:val="000000"/>
        </w:rPr>
        <w:t>1</w:t>
      </w:r>
      <w:r>
        <w:rPr>
          <w:sz w:val="24"/>
          <w:color w:val="000000"/>
        </w:rPr>
        <w:t>、 场地改造费用=场地改造费用的最高限价*中标折扣率（四舍五入保留2位小数点）。</w:t>
      </w:r>
    </w:p>
    <w:p>
      <w:pPr>
        <w:pStyle w:val="null3"/>
        <w:ind w:firstLine="420"/>
      </w:pPr>
      <w:r>
        <w:rPr>
          <w:sz w:val="24"/>
          <w:color w:val="000000"/>
        </w:rPr>
        <w:t>2</w:t>
      </w:r>
      <w:r>
        <w:rPr>
          <w:sz w:val="24"/>
          <w:color w:val="000000"/>
        </w:rPr>
        <w:t>、 各类型车辆搬迁费=各类型车辆拖吊单价最高限价*中标折扣率*搬迁的车辆数，车辆搬迁费=各类型车辆搬迁费之和，最终结算金额不得超过车辆搬迁费用的预算。</w:t>
      </w:r>
    </w:p>
    <w:p>
      <w:pPr>
        <w:pStyle w:val="null3"/>
        <w:ind w:firstLine="420"/>
      </w:pPr>
      <w:r>
        <w:rPr>
          <w:sz w:val="24"/>
          <w:color w:val="000000"/>
        </w:rPr>
        <w:t>3</w:t>
      </w:r>
      <w:r>
        <w:rPr>
          <w:sz w:val="24"/>
          <w:color w:val="000000"/>
        </w:rPr>
        <w:t>、证据保存车辆保管服务费=证据保存车辆保管服务费最高单价限价*折扣率*场地实际面积（8.2万平方米）。从新场地改造完成通过验收且有车辆进场开始提供场地保管服务并计算保管费。</w:t>
      </w:r>
    </w:p>
    <w:p>
      <w:pPr>
        <w:pStyle w:val="null3"/>
        <w:ind w:firstLine="422"/>
      </w:pPr>
      <w:r>
        <w:rPr>
          <w:sz w:val="24"/>
          <w:b/>
          <w:color w:val="000000"/>
        </w:rPr>
        <w:t>（二）每月的实际服务费与当月的月度考核总评挂钩。</w:t>
      </w:r>
    </w:p>
    <w:p>
      <w:pPr>
        <w:pStyle w:val="null3"/>
        <w:ind w:firstLine="420"/>
      </w:pPr>
      <w:r>
        <w:rPr>
          <w:sz w:val="24"/>
          <w:color w:val="000000"/>
        </w:rPr>
        <w:t>1</w:t>
      </w:r>
      <w:r>
        <w:rPr>
          <w:sz w:val="24"/>
          <w:color w:val="000000"/>
        </w:rPr>
        <w:t>、甲方有权将乙方在合同服务期内违反合同规定的各种情况进行登记，建立诚信档案，制作月度考评表，按考评表分数比例扣减当月服务费用。</w:t>
      </w:r>
    </w:p>
    <w:p>
      <w:pPr>
        <w:pStyle w:val="null3"/>
        <w:ind w:firstLine="420"/>
      </w:pPr>
      <w:r>
        <w:rPr>
          <w:sz w:val="24"/>
          <w:color w:val="000000"/>
        </w:rPr>
        <w:t>2</w:t>
      </w:r>
      <w:r>
        <w:rPr>
          <w:sz w:val="24"/>
          <w:color w:val="000000"/>
        </w:rPr>
        <w:t>、考评表评分按百分制，每一个月为一个计分周期。当月得分低于60分的，视为不合格，且甲方可单方面解除合同。</w:t>
      </w:r>
    </w:p>
    <w:p>
      <w:pPr>
        <w:pStyle w:val="null3"/>
        <w:ind w:firstLine="422"/>
      </w:pPr>
      <w:r>
        <w:rPr>
          <w:sz w:val="24"/>
          <w:b/>
          <w:color w:val="000000"/>
        </w:rPr>
        <w:t>（三）乙方服务费支付比例和月度考核情况挂钩：</w:t>
      </w:r>
    </w:p>
    <w:p>
      <w:pPr>
        <w:pStyle w:val="null3"/>
        <w:ind w:firstLine="420"/>
      </w:pPr>
      <w:r>
        <w:rPr>
          <w:sz w:val="24"/>
          <w:color w:val="000000"/>
        </w:rPr>
        <w:t>1</w:t>
      </w:r>
      <w:r>
        <w:rPr>
          <w:sz w:val="24"/>
          <w:color w:val="000000"/>
        </w:rPr>
        <w:t>、当月总评＜60分的，视为不合格，当月服务费用不予支付；</w:t>
      </w:r>
    </w:p>
    <w:p>
      <w:pPr>
        <w:pStyle w:val="null3"/>
        <w:ind w:firstLine="420"/>
      </w:pPr>
      <w:r>
        <w:rPr>
          <w:sz w:val="24"/>
          <w:color w:val="000000"/>
        </w:rPr>
        <w:t>2</w:t>
      </w:r>
      <w:r>
        <w:rPr>
          <w:sz w:val="24"/>
          <w:color w:val="000000"/>
        </w:rPr>
        <w:t>、当月总评60分或60分以上的，按总评分数支付相同比例的服务费。例如当月得分为85.2分的，当月合同服务费×85.2%=当月应支付服务费，依此类推；</w:t>
      </w:r>
    </w:p>
    <w:p>
      <w:pPr>
        <w:pStyle w:val="null3"/>
        <w:ind w:firstLine="422"/>
      </w:pPr>
      <w:r>
        <w:rPr>
          <w:sz w:val="24"/>
          <w:b/>
          <w:color w:val="000000"/>
        </w:rPr>
        <w:t>（四）甲方每月制作月度考评总表（附件2），作为结算依据之一。</w:t>
      </w:r>
    </w:p>
    <w:p>
      <w:pPr>
        <w:pStyle w:val="null3"/>
        <w:ind w:firstLine="422"/>
      </w:pPr>
      <w:r>
        <w:rPr>
          <w:sz w:val="24"/>
          <w:b/>
          <w:color w:val="000000"/>
        </w:rPr>
        <w:t>（五）奖分办法</w:t>
      </w:r>
    </w:p>
    <w:p>
      <w:pPr>
        <w:pStyle w:val="null3"/>
        <w:ind w:firstLine="420"/>
      </w:pPr>
      <w:r>
        <w:rPr>
          <w:sz w:val="24"/>
          <w:color w:val="000000"/>
        </w:rPr>
        <w:t>（1）乙方发现交通事故、故障车辆或障碍物并及时上报且经大队确认的，每宗奖励 1 分（须经大队书面确认）；</w:t>
      </w:r>
    </w:p>
    <w:p>
      <w:pPr>
        <w:pStyle w:val="null3"/>
        <w:ind w:firstLine="420"/>
      </w:pPr>
      <w:r>
        <w:rPr>
          <w:sz w:val="24"/>
          <w:color w:val="000000"/>
        </w:rPr>
        <w:t>（2）乙方作业及时、服务好或效果佳，被市级以上新闻媒体表扬报道的，每宗奖励 5 分。</w:t>
      </w:r>
    </w:p>
    <w:p>
      <w:pPr>
        <w:pStyle w:val="null3"/>
        <w:ind w:firstLine="400"/>
      </w:pPr>
      <w:r>
        <w:rPr>
          <w:sz w:val="24"/>
          <w:color w:val="000000"/>
        </w:rPr>
        <w:t>（3）</w:t>
      </w:r>
      <w:r>
        <w:rPr>
          <w:sz w:val="24"/>
          <w:color w:val="000000"/>
        </w:rPr>
        <w:t>每月奖分 5 分封顶。奖分加至月度总评超过 100 分时，服务费按 100%支付。</w:t>
      </w:r>
    </w:p>
    <w:p>
      <w:pPr>
        <w:pStyle w:val="null3"/>
        <w:ind w:firstLine="422"/>
      </w:pPr>
      <w:r>
        <w:rPr>
          <w:sz w:val="24"/>
          <w:b/>
          <w:color w:val="000000"/>
        </w:rPr>
        <w:t>十一、支付方式</w:t>
      </w:r>
    </w:p>
    <w:p>
      <w:pPr>
        <w:pStyle w:val="null3"/>
        <w:ind w:firstLine="420"/>
      </w:pPr>
      <w:r>
        <w:rPr>
          <w:sz w:val="24"/>
          <w:color w:val="000000"/>
        </w:rPr>
        <w:t>实际服务费按月结算，每月支付一次。乙方须在每月10日前向甲方提供相关资料以及等额的正式发票，供甲方审核，以便甲方办理财政支付手续，甲方审核通过后，乙方应于5个工作日内向甲方申请付款，甲方收到乙方的申请以及全部付款资料后，5个工作日内办理财政支付手续，实际支付时间由区财政局安排。</w:t>
      </w:r>
    </w:p>
    <w:p>
      <w:pPr>
        <w:pStyle w:val="null3"/>
        <w:ind w:firstLine="420"/>
      </w:pPr>
      <w:r>
        <w:rPr>
          <w:sz w:val="24"/>
          <w:color w:val="000000"/>
        </w:rPr>
        <w:t>在全部服务期结束，且乙方在配合甲方做好下一周期供应商交接工作后的五个工作日内，甲方办理财政支付手续支付最后一期实际服务费。</w:t>
      </w:r>
    </w:p>
    <w:p>
      <w:pPr>
        <w:pStyle w:val="null3"/>
        <w:ind w:firstLine="420"/>
      </w:pPr>
      <w:r>
        <w:rPr>
          <w:sz w:val="24"/>
          <w:color w:val="000000"/>
        </w:rPr>
        <w:t>因甲方使用的是财政资金，甲方在前款规定的付款时间为向政府采购支付部门提供财政支付申请手续时间（不含甲方或甲方上级部门审核时间），在规定时间内提出支付手续后即视为甲方已经按期支付。由于财政拨款不到位而导致甲方逾期付款的，甲方不承担违约责任。</w:t>
      </w:r>
    </w:p>
    <w:p>
      <w:pPr>
        <w:pStyle w:val="null3"/>
        <w:ind w:firstLine="420"/>
        <w:jc w:val="both"/>
      </w:pPr>
      <w:r>
        <w:rPr>
          <w:sz w:val="24"/>
          <w:color w:val="000000"/>
        </w:rPr>
        <w:t>甲方收到乙方开具的符合法律规定和甲方要求的相应金额的增值税专用发票后才具有付款义务，乙方未开具或者逾期提供的，甲方有权拒绝付款且不视为违约。</w:t>
      </w:r>
    </w:p>
    <w:p>
      <w:pPr>
        <w:pStyle w:val="null3"/>
        <w:ind w:firstLine="422"/>
        <w:jc w:val="both"/>
      </w:pPr>
      <w:r>
        <w:rPr>
          <w:sz w:val="24"/>
          <w:b/>
        </w:rPr>
        <w:t>十二、履约保证金</w:t>
      </w:r>
    </w:p>
    <w:p>
      <w:pPr>
        <w:pStyle w:val="null3"/>
        <w:ind w:firstLine="420"/>
        <w:jc w:val="both"/>
      </w:pPr>
      <w:r>
        <w:rPr>
          <w:sz w:val="24"/>
        </w:rPr>
        <w:t>项目合同签订后30天内，乙方须向甲方提交履约保证金，金额为合同价的3%，履约保证金不可撤销、无条件的《银行履约保函》的形式提交。该银行履约保函须为注册在中国、营业地在广州的银行出具的、无条件的、不可撤销的，保函有效期至项目质保期满之日起30天后自动失效。下列任何一种情况发生时，甲方有权没收银行履约保函中的履约保证金：1、有明显证据证明乙方未履行本合同约定的；2、乙方有明显过错致甲方造成损失的。</w:t>
      </w:r>
    </w:p>
    <w:p>
      <w:pPr>
        <w:pStyle w:val="null3"/>
        <w:ind w:firstLine="422"/>
        <w:jc w:val="both"/>
      </w:pPr>
      <w:r>
        <w:rPr>
          <w:sz w:val="24"/>
          <w:b/>
        </w:rPr>
        <w:t>十三、验收要求</w:t>
      </w:r>
    </w:p>
    <w:p>
      <w:pPr>
        <w:pStyle w:val="null3"/>
        <w:ind w:firstLine="420"/>
        <w:jc w:val="both"/>
      </w:pPr>
      <w:r>
        <w:rPr>
          <w:sz w:val="24"/>
          <w:color w:val="000000"/>
        </w:rPr>
        <w:t>服务完成后，以项目的招标文件和乙方的投标文件为验收依据，验收由甲方组织，乙方配合进行，组织验收并出具项目验收报告。服务或产品若有国家标准按照国家标准验收，若无国家标准按行业标准验收，为在中国境内可依常规安全合法使用，同时符合本合同约定的服务要求</w:t>
      </w:r>
      <w:r>
        <w:rPr>
          <w:sz w:val="24"/>
        </w:rPr>
        <w:t>。</w:t>
      </w:r>
    </w:p>
    <w:p>
      <w:pPr>
        <w:pStyle w:val="null3"/>
        <w:ind w:firstLine="422"/>
        <w:jc w:val="left"/>
      </w:pPr>
      <w:r>
        <w:rPr>
          <w:sz w:val="24"/>
          <w:b/>
        </w:rPr>
        <w:t>十四、双方权利义务</w:t>
      </w:r>
    </w:p>
    <w:p>
      <w:pPr>
        <w:pStyle w:val="null3"/>
        <w:ind w:firstLine="422"/>
        <w:jc w:val="left"/>
      </w:pPr>
      <w:r>
        <w:rPr>
          <w:sz w:val="24"/>
          <w:b/>
        </w:rPr>
        <w:t>（一）甲方权利义务</w:t>
      </w:r>
    </w:p>
    <w:p>
      <w:pPr>
        <w:pStyle w:val="null3"/>
        <w:ind w:firstLine="400"/>
        <w:jc w:val="both"/>
      </w:pPr>
      <w:r>
        <w:rPr>
          <w:sz w:val="24"/>
        </w:rPr>
        <w:t>1.委托乙方存放因证据保存需要而暂扣待处理的各类涉案车辆（包括机动车、非机动车）。</w:t>
      </w:r>
    </w:p>
    <w:p>
      <w:pPr>
        <w:pStyle w:val="null3"/>
        <w:ind w:firstLine="420"/>
        <w:jc w:val="both"/>
      </w:pPr>
      <w:r>
        <w:rPr>
          <w:sz w:val="24"/>
        </w:rPr>
        <w:t>2.协调乙方做好涉案车辆的存放及涉案车辆的拆解、拍卖等方面的业务和管理工作。</w:t>
      </w:r>
    </w:p>
    <w:p>
      <w:pPr>
        <w:pStyle w:val="null3"/>
        <w:ind w:firstLine="420"/>
        <w:jc w:val="both"/>
      </w:pPr>
      <w:r>
        <w:rPr>
          <w:sz w:val="24"/>
        </w:rPr>
        <w:t>3.制定统一、规范的车辆放行流程和标准，以及统一的车辆放行条样式，并与乙方共同做好“车辆放行条”真实性、有效性的核对工作。</w:t>
      </w:r>
    </w:p>
    <w:p>
      <w:pPr>
        <w:pStyle w:val="null3"/>
        <w:ind w:firstLine="420"/>
        <w:jc w:val="both"/>
      </w:pPr>
      <w:r>
        <w:rPr>
          <w:sz w:val="24"/>
        </w:rPr>
        <w:t>4.定期检查车辆的拆解、拍卖、保管情况及核对车辆进、出场数据。</w:t>
      </w:r>
    </w:p>
    <w:p>
      <w:pPr>
        <w:pStyle w:val="null3"/>
        <w:ind w:firstLine="420"/>
        <w:jc w:val="both"/>
      </w:pPr>
      <w:r>
        <w:rPr>
          <w:sz w:val="24"/>
        </w:rPr>
        <w:t>5.按时足额办理财政集中支付手续。</w:t>
      </w:r>
    </w:p>
    <w:p>
      <w:pPr>
        <w:pStyle w:val="null3"/>
        <w:ind w:firstLine="420"/>
        <w:jc w:val="both"/>
      </w:pPr>
      <w:r>
        <w:rPr>
          <w:sz w:val="24"/>
        </w:rPr>
        <w:t>6.如合同履行期间，甲方所提供场地遇政府征用等政策性因素需要更换服务场地的，甲方需提前一个月书面通知乙方，乙方必须在原场地停止使用前继续履行保管服务，证据保存车辆转场服务所产生的费用由甲方承担。</w:t>
      </w:r>
    </w:p>
    <w:p>
      <w:pPr>
        <w:pStyle w:val="null3"/>
        <w:ind w:firstLine="422"/>
        <w:jc w:val="left"/>
      </w:pPr>
      <w:r>
        <w:rPr>
          <w:sz w:val="24"/>
          <w:b/>
        </w:rPr>
        <w:t>（二）乙方权利义务</w:t>
      </w:r>
    </w:p>
    <w:p>
      <w:pPr>
        <w:pStyle w:val="null3"/>
        <w:ind w:firstLine="420"/>
        <w:jc w:val="left"/>
      </w:pPr>
      <w:r>
        <w:rPr>
          <w:sz w:val="24"/>
        </w:rPr>
        <w:t>1.乙方必须严格保密甲方因证据保存需要而停放在乙方场地的涉案车辆信息，若因乙方管理不善导致证据保存车辆信息外泄的，甲方有权视情节进行追责。</w:t>
      </w:r>
    </w:p>
    <w:p>
      <w:pPr>
        <w:pStyle w:val="null3"/>
        <w:ind w:firstLine="420"/>
        <w:jc w:val="left"/>
      </w:pPr>
      <w:r>
        <w:rPr>
          <w:sz w:val="24"/>
        </w:rPr>
        <w:t>2.乙方提供保管服务的所有场地必须确保涉案车辆的安全，避免涉案车辆因人为或自然原因造成车辆遗失或损失（毁）导致证据改变影响取证工作（需长期堆放的车辆除外）。</w:t>
      </w:r>
    </w:p>
    <w:p>
      <w:pPr>
        <w:pStyle w:val="null3"/>
        <w:ind w:firstLine="420"/>
        <w:jc w:val="left"/>
      </w:pPr>
      <w:r>
        <w:rPr>
          <w:sz w:val="24"/>
        </w:rPr>
        <w:t>3.未经过甲方书面同意，乙方不得将权利及义务进行分包或转包，由此造成的法律经济后果全部由乙方承担。</w:t>
      </w:r>
    </w:p>
    <w:p>
      <w:pPr>
        <w:pStyle w:val="null3"/>
        <w:ind w:firstLine="420"/>
        <w:jc w:val="left"/>
      </w:pPr>
      <w:r>
        <w:rPr>
          <w:sz w:val="24"/>
        </w:rPr>
        <w:t>4.及时做好车辆接收工作，登记好车型、外观状况、车内设备情况以及核对好数量，建立相应的工作台帐；并将车辆按车型及入场的先后停放整齐。</w:t>
      </w:r>
    </w:p>
    <w:p>
      <w:pPr>
        <w:pStyle w:val="null3"/>
        <w:ind w:firstLine="420"/>
        <w:jc w:val="left"/>
      </w:pPr>
      <w:r>
        <w:rPr>
          <w:sz w:val="24"/>
        </w:rPr>
        <w:t>5.配合甲方做好涉案车辆的拓印、拍照等取证等工作，并不得向涉案车辆单位或当事人收取或变相收取任何费用。</w:t>
      </w:r>
    </w:p>
    <w:p>
      <w:pPr>
        <w:pStyle w:val="null3"/>
        <w:ind w:firstLine="420"/>
        <w:jc w:val="left"/>
      </w:pPr>
      <w:r>
        <w:rPr>
          <w:sz w:val="24"/>
        </w:rPr>
        <w:t>6.根据安全、消防、环保、综治的管理要求，做好场内安全环保和防盗等工作确保车场内车辆的安全。</w:t>
      </w:r>
    </w:p>
    <w:p>
      <w:pPr>
        <w:pStyle w:val="null3"/>
        <w:ind w:firstLine="420"/>
        <w:jc w:val="left"/>
      </w:pPr>
      <w:r>
        <w:rPr>
          <w:sz w:val="24"/>
        </w:rPr>
        <w:t>7.乙方有权利按合同规定的时间追收服务费用，甲方应予配合支付</w:t>
      </w:r>
    </w:p>
    <w:p>
      <w:pPr>
        <w:pStyle w:val="null3"/>
        <w:ind w:firstLine="422"/>
        <w:jc w:val="left"/>
      </w:pPr>
      <w:r>
        <w:rPr>
          <w:sz w:val="24"/>
          <w:b/>
        </w:rPr>
        <w:t>十五、违约条款</w:t>
      </w:r>
    </w:p>
    <w:p>
      <w:pPr>
        <w:pStyle w:val="null3"/>
        <w:ind w:firstLine="420"/>
        <w:jc w:val="left"/>
      </w:pPr>
      <w:r>
        <w:rPr>
          <w:sz w:val="24"/>
        </w:rPr>
        <w:t>1.乙方提供的服务不符合本合同规定的，甲方有权拒收，并且乙方须向甲方方支付本合同总价5%的违约金。</w:t>
      </w:r>
    </w:p>
    <w:p>
      <w:pPr>
        <w:pStyle w:val="null3"/>
        <w:ind w:firstLine="420"/>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left"/>
      </w:pPr>
      <w:r>
        <w:rPr>
          <w:sz w:val="24"/>
        </w:rPr>
        <w:t>3.甲方无正当理由拒收接受服务，到期拒付服务款项的，甲方向乙方偿付本合同总的5%的违约金。甲方人逾期付款，则每日按本合同总价的3‰向乙方偿付违约金。</w:t>
      </w:r>
    </w:p>
    <w:p>
      <w:pPr>
        <w:pStyle w:val="null3"/>
        <w:ind w:firstLine="420"/>
        <w:jc w:val="left"/>
      </w:pPr>
      <w:r>
        <w:rPr>
          <w:sz w:val="24"/>
        </w:rPr>
        <w:t>4.对于因甲方原因导致变更、中止或者终止政府采购合同的，甲方应当依照以下合同约定对供应商受到的损失予以赔偿或者补偿：</w:t>
      </w:r>
    </w:p>
    <w:p>
      <w:pPr>
        <w:pStyle w:val="null3"/>
        <w:ind w:firstLine="420"/>
        <w:jc w:val="left"/>
      </w:pPr>
      <w:r>
        <w:rPr>
          <w:sz w:val="24"/>
        </w:rPr>
        <w:t>5.其它违约责任按《中华人民共和国民法典(合同编)》处理。</w:t>
      </w:r>
    </w:p>
    <w:p>
      <w:pPr>
        <w:pStyle w:val="null3"/>
        <w:ind w:firstLine="422"/>
        <w:jc w:val="left"/>
      </w:pPr>
      <w:r>
        <w:rPr>
          <w:sz w:val="24"/>
          <w:b/>
        </w:rPr>
        <w:t>十六、不可抗力</w:t>
      </w:r>
    </w:p>
    <w:p>
      <w:pPr>
        <w:pStyle w:val="null3"/>
        <w:ind w:firstLine="420"/>
        <w:jc w:val="left"/>
      </w:pPr>
      <w:r>
        <w:rPr>
          <w:sz w:val="24"/>
        </w:rPr>
        <w:t>（一）由于不可预见、不可避免、不可克服等不可抗力的原因，一方不能履行约定义务的，应当在不可抗力发生之日起3天内以书面形式通知对方，阐明不可抗力事件的存在。</w:t>
      </w:r>
    </w:p>
    <w:p>
      <w:pPr>
        <w:pStyle w:val="null3"/>
        <w:ind w:firstLine="420"/>
        <w:jc w:val="left"/>
      </w:pPr>
      <w:r>
        <w:rPr>
          <w:sz w:val="24"/>
        </w:rPr>
        <w:t>（二）不可抗力事件发生后，双方应当积极寻求合理的方式履行本需求。如不可抗力无法消除，致使合同目的无法实现的，双方均有权解除合同，且无需承担赔偿责任。</w:t>
      </w:r>
    </w:p>
    <w:p>
      <w:pPr>
        <w:pStyle w:val="null3"/>
        <w:ind w:firstLine="422"/>
        <w:jc w:val="left"/>
      </w:pPr>
      <w:r>
        <w:rPr>
          <w:sz w:val="24"/>
          <w:b/>
        </w:rPr>
        <w:t>十七、知识产权归属</w:t>
      </w:r>
    </w:p>
    <w:p>
      <w:pPr>
        <w:pStyle w:val="null3"/>
        <w:ind w:firstLine="420"/>
        <w:jc w:val="left"/>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left"/>
      </w:pPr>
      <w:r>
        <w:rPr>
          <w:sz w:val="24"/>
          <w:b/>
        </w:rPr>
        <w:t>十八、通知与送达</w:t>
      </w:r>
    </w:p>
    <w:p>
      <w:pPr>
        <w:pStyle w:val="null3"/>
        <w:ind w:firstLine="420"/>
        <w:jc w:val="left"/>
      </w:pPr>
      <w:r>
        <w:rPr>
          <w:sz w:val="24"/>
        </w:rPr>
        <w:t>乙方应在本合同的签署栏中如实提供联系地址、联系电话以及电子邮箱等(若联系地址未填写，则以身份证载明的住址或工商登记的住所地为准)，甲方向乙方发出的关于本合同履行及其他相关事宜的通知，可采用当面递交、快递递交、发送电子邮件等方式通知和送达。选择以快递、电子邮件等方式的，自发出之日起第3日视为送达之日。乙方载明的信息发生变更的，应当及时通知甲方，否则因此产生的一切不利后果由乙方自行承担。</w:t>
      </w:r>
    </w:p>
    <w:p>
      <w:pPr>
        <w:pStyle w:val="null3"/>
        <w:ind w:firstLine="422"/>
        <w:jc w:val="left"/>
      </w:pPr>
      <w:r>
        <w:rPr>
          <w:sz w:val="24"/>
          <w:b/>
        </w:rPr>
        <w:t>十九、保密</w:t>
      </w:r>
    </w:p>
    <w:p>
      <w:pPr>
        <w:pStyle w:val="null3"/>
        <w:ind w:firstLine="420"/>
        <w:jc w:val="left"/>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left"/>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除了合同本身之外，上款所列举的任何物件均是甲方的财产。如果甲方有要求，乙方在完成合同后应将这些物件及全部复制件还给甲方。</w:t>
      </w:r>
    </w:p>
    <w:p>
      <w:pPr>
        <w:pStyle w:val="null3"/>
        <w:ind w:firstLine="422"/>
        <w:jc w:val="left"/>
      </w:pPr>
      <w:r>
        <w:rPr>
          <w:sz w:val="24"/>
          <w:b/>
        </w:rPr>
        <w:t>二十、法律适用及争议的解决</w:t>
      </w:r>
    </w:p>
    <w:p>
      <w:pPr>
        <w:pStyle w:val="null3"/>
        <w:ind w:firstLine="420"/>
        <w:jc w:val="left"/>
      </w:pPr>
      <w:r>
        <w:rPr>
          <w:sz w:val="24"/>
          <w:color w:val="000000"/>
        </w:rPr>
        <w:t>（一）本合同的订立、效力、解释、履行和争议的解决，依照中华人民共和国境内的法律、法规解决。</w:t>
      </w:r>
    </w:p>
    <w:p>
      <w:pPr>
        <w:pStyle w:val="null3"/>
        <w:ind w:firstLine="420"/>
        <w:jc w:val="left"/>
      </w:pPr>
      <w:r>
        <w:rPr>
          <w:sz w:val="24"/>
          <w:color w:val="000000"/>
        </w:rPr>
        <w:t>（二）双方因服务质量问题发生争议时，甲方可指定具有资质的独立第三方鉴定机构进行鉴定，鉴定费用由乙方先行垫付。</w:t>
      </w:r>
    </w:p>
    <w:p>
      <w:pPr>
        <w:pStyle w:val="null3"/>
        <w:ind w:firstLine="420"/>
        <w:jc w:val="left"/>
      </w:pPr>
      <w:r>
        <w:rPr>
          <w:sz w:val="24"/>
          <w:color w:val="000000"/>
        </w:rPr>
        <w:t>（三）双方因本合同发生争议的，应尽量通过友好协商的方式解决；协商不成的，任何一方均可通过甲方所在地人民法院诉讼解决。败诉方应当承担胜诉方由此产生的包括但不限于诉讼费、保全费、律师费、差旅费等所有合理费用。在法院审理期间，除提交法院审理的事项外，本合同的其他部分仍继续履行。</w:t>
      </w:r>
    </w:p>
    <w:p>
      <w:pPr>
        <w:pStyle w:val="null3"/>
        <w:ind w:firstLine="422"/>
        <w:jc w:val="left"/>
      </w:pPr>
      <w:r>
        <w:rPr>
          <w:sz w:val="24"/>
          <w:b/>
        </w:rPr>
        <w:t>二十一、合同生效及其他</w:t>
      </w:r>
    </w:p>
    <w:p>
      <w:pPr>
        <w:pStyle w:val="null3"/>
        <w:ind w:firstLine="420"/>
        <w:jc w:val="left"/>
      </w:pPr>
      <w:r>
        <w:rPr>
          <w:sz w:val="24"/>
        </w:rPr>
        <w:t>（一）服务期限内，如遇国家重大政策变化，经双方协商，可对本合同的条款进行补充，并以书面形式签订补充协议，补充协议与本合同具有同等法律效力。</w:t>
      </w:r>
    </w:p>
    <w:p>
      <w:pPr>
        <w:pStyle w:val="null3"/>
        <w:ind w:firstLine="420"/>
        <w:jc w:val="left"/>
      </w:pPr>
      <w:r>
        <w:rPr>
          <w:sz w:val="24"/>
        </w:rPr>
        <w:t>（二）本项目中标通知书、招标文件、投标文件及附件均是本合同不可分割的部分，解释的顺序除特别说明外，以文件生成时间在后的为准。</w:t>
      </w:r>
    </w:p>
    <w:p>
      <w:pPr>
        <w:pStyle w:val="null3"/>
        <w:ind w:firstLine="420"/>
        <w:jc w:val="left"/>
      </w:pPr>
      <w:r>
        <w:rPr>
          <w:sz w:val="24"/>
        </w:rPr>
        <w:t>（三）在执行合同过程中，所有经甲乙双方签署确认的文件（包括会议纪要、补充协议、往来信函）即成为本合同的有效组成部分，其生效日期为双方签字盖章确认的日期。</w:t>
      </w:r>
    </w:p>
    <w:p>
      <w:pPr>
        <w:pStyle w:val="null3"/>
        <w:ind w:firstLine="420"/>
        <w:jc w:val="left"/>
      </w:pPr>
      <w:r>
        <w:rPr>
          <w:sz w:val="24"/>
        </w:rPr>
        <w:t>（四）除甲方事先书面同意外，乙方不得部分或全部转让其应履行的合同项下的义务。</w:t>
      </w:r>
    </w:p>
    <w:p>
      <w:pPr>
        <w:pStyle w:val="null3"/>
        <w:ind w:firstLine="420"/>
        <w:jc w:val="left"/>
      </w:pPr>
      <w:r>
        <w:rPr>
          <w:sz w:val="24"/>
        </w:rPr>
        <w:t>（五）本合同自双方签字盖章之日起生效，一式</w:t>
      </w:r>
      <w:r>
        <w:rPr>
          <w:sz w:val="24"/>
          <w:u w:val="single"/>
        </w:rPr>
        <w:t>6</w:t>
      </w:r>
      <w:r>
        <w:rPr>
          <w:sz w:val="24"/>
        </w:rPr>
        <w:t>份，甲方执</w:t>
      </w:r>
      <w:r>
        <w:rPr>
          <w:sz w:val="24"/>
          <w:u w:val="single"/>
        </w:rPr>
        <w:t>4</w:t>
      </w:r>
      <w:r>
        <w:rPr>
          <w:sz w:val="24"/>
        </w:rPr>
        <w:t>份，乙方执</w:t>
      </w:r>
      <w:r>
        <w:rPr>
          <w:sz w:val="24"/>
          <w:u w:val="single"/>
        </w:rPr>
        <w:t>2</w:t>
      </w:r>
      <w:r>
        <w:rPr>
          <w:sz w:val="24"/>
        </w:rPr>
        <w:t>份，均具有同等法律效力。</w:t>
      </w:r>
    </w:p>
    <w:p>
      <w:pPr>
        <w:pStyle w:val="null3"/>
        <w:ind w:firstLine="420"/>
        <w:jc w:val="left"/>
      </w:pPr>
      <w:r>
        <w:rPr>
          <w:sz w:val="24"/>
          <w:color w:val="000000"/>
        </w:rPr>
        <w:t>附件</w:t>
      </w:r>
      <w:r>
        <w:rPr>
          <w:sz w:val="24"/>
          <w:color w:val="000000"/>
        </w:rPr>
        <w:t>1</w:t>
      </w:r>
      <w:r>
        <w:rPr>
          <w:sz w:val="24"/>
          <w:color w:val="000000"/>
        </w:rPr>
        <w:t>：整改通知书</w:t>
      </w:r>
    </w:p>
    <w:p>
      <w:pPr>
        <w:pStyle w:val="null3"/>
        <w:ind w:firstLine="420"/>
        <w:jc w:val="left"/>
      </w:pPr>
      <w:r>
        <w:rPr>
          <w:sz w:val="24"/>
        </w:rPr>
        <w:t>附件2：</w:t>
      </w:r>
      <w:r>
        <w:rPr>
          <w:sz w:val="24"/>
          <w:color w:val="000000"/>
        </w:rPr>
        <w:t>涉案车辆保管服务月度考评总表</w:t>
      </w:r>
    </w:p>
    <w:p>
      <w:pPr>
        <w:pStyle w:val="null3"/>
        <w:ind w:firstLine="420"/>
        <w:jc w:val="left"/>
      </w:pPr>
      <w:r>
        <w:rPr/>
        <w:t xml:space="preserve"> </w:t>
      </w:r>
    </w:p>
    <w:p>
      <w:pPr>
        <w:pStyle w:val="null3"/>
        <w:ind w:firstLine="420"/>
        <w:jc w:val="left"/>
      </w:pPr>
      <w:r>
        <w:rPr/>
        <w:t xml:space="preserve"> </w:t>
      </w:r>
    </w:p>
    <w:p>
      <w:pPr>
        <w:pStyle w:val="null3"/>
        <w:ind w:firstLine="420"/>
        <w:jc w:val="center"/>
      </w:pPr>
      <w:r>
        <w:rPr>
          <w:sz w:val="24"/>
          <w:b/>
        </w:rPr>
        <w:t>甲方：                                 乙方：</w:t>
      </w:r>
    </w:p>
    <w:p>
      <w:pPr>
        <w:pStyle w:val="null3"/>
        <w:ind w:firstLine="482"/>
        <w:jc w:val="left"/>
      </w:pPr>
      <w:r>
        <w:rPr>
          <w:sz w:val="24"/>
          <w:b/>
        </w:rPr>
        <w:t>法定代表人：                         法定代表人：</w:t>
      </w:r>
    </w:p>
    <w:p>
      <w:pPr>
        <w:pStyle w:val="null3"/>
        <w:ind w:firstLine="482"/>
        <w:jc w:val="left"/>
      </w:pPr>
      <w:r>
        <w:rPr>
          <w:sz w:val="24"/>
          <w:b/>
        </w:rPr>
        <w:t>授权代表：                            授权代表：</w:t>
      </w:r>
    </w:p>
    <w:p>
      <w:pPr>
        <w:pStyle w:val="null3"/>
        <w:ind w:firstLine="482"/>
        <w:jc w:val="left"/>
      </w:pPr>
      <w:r>
        <w:rPr>
          <w:sz w:val="24"/>
          <w:b/>
        </w:rPr>
        <w:t>联系地址：                            联系地址：</w:t>
      </w:r>
    </w:p>
    <w:p>
      <w:pPr>
        <w:pStyle w:val="null3"/>
        <w:ind w:firstLine="422"/>
        <w:jc w:val="left"/>
      </w:pPr>
      <w:r>
        <w:rPr>
          <w:sz w:val="24"/>
          <w:b/>
        </w:rPr>
        <w:t xml:space="preserve">                         </w:t>
      </w:r>
    </w:p>
    <w:p>
      <w:pPr>
        <w:pStyle w:val="null3"/>
        <w:ind w:firstLine="422"/>
        <w:jc w:val="both"/>
      </w:pPr>
      <w:r>
        <w:rPr>
          <w:sz w:val="24"/>
          <w:b/>
          <w:color w:val="000000"/>
        </w:rPr>
        <w:t xml:space="preserve">                                          开户名称：</w:t>
      </w:r>
    </w:p>
    <w:p>
      <w:pPr>
        <w:pStyle w:val="null3"/>
        <w:ind w:firstLine="422"/>
        <w:jc w:val="both"/>
      </w:pPr>
      <w:r>
        <w:rPr>
          <w:sz w:val="24"/>
          <w:b/>
          <w:color w:val="000000"/>
        </w:rPr>
        <w:t xml:space="preserve">                                          银行账号：</w:t>
      </w:r>
    </w:p>
    <w:p>
      <w:pPr>
        <w:pStyle w:val="null3"/>
        <w:ind w:firstLine="422"/>
        <w:jc w:val="both"/>
      </w:pPr>
      <w:r>
        <w:rPr>
          <w:sz w:val="24"/>
          <w:b/>
          <w:color w:val="000000"/>
        </w:rPr>
        <w:t xml:space="preserve">                                          纳税人识别号：</w:t>
      </w:r>
    </w:p>
    <w:p>
      <w:pPr>
        <w:pStyle w:val="null3"/>
        <w:ind w:firstLine="422"/>
        <w:jc w:val="both"/>
      </w:pPr>
      <w:r>
        <w:rPr>
          <w:sz w:val="24"/>
          <w:b/>
          <w:color w:val="000000"/>
        </w:rPr>
        <w:t xml:space="preserve">                                          开</w:t>
      </w:r>
      <w:r>
        <w:rPr>
          <w:sz w:val="24"/>
          <w:b/>
          <w:color w:val="000000"/>
        </w:rPr>
        <w:t>户</w:t>
      </w:r>
      <w:r>
        <w:rPr>
          <w:sz w:val="24"/>
          <w:b/>
          <w:color w:val="000000"/>
        </w:rPr>
        <w:t>行：</w:t>
      </w:r>
    </w:p>
    <w:p>
      <w:pPr>
        <w:pStyle w:val="null3"/>
        <w:ind w:firstLine="420"/>
        <w:jc w:val="left"/>
      </w:pPr>
      <w:r>
        <w:rPr>
          <w:sz w:val="24"/>
          <w:b/>
        </w:rPr>
        <w:t>签订时间：2025年</w:t>
      </w:r>
      <w:r>
        <w:rPr>
          <w:sz w:val="24"/>
          <w:b/>
        </w:rPr>
        <w:t xml:space="preserve">  </w:t>
      </w:r>
      <w:r>
        <w:rPr>
          <w:sz w:val="24"/>
          <w:b/>
        </w:rPr>
        <w:t>月</w:t>
      </w:r>
      <w:r>
        <w:rPr>
          <w:sz w:val="24"/>
          <w:b/>
        </w:rPr>
        <w:t xml:space="preserve">  </w:t>
      </w:r>
      <w:r>
        <w:rPr>
          <w:sz w:val="24"/>
          <w:b/>
        </w:rPr>
        <w:t>日</w:t>
      </w:r>
      <w:r>
        <w:rPr>
          <w:sz w:val="24"/>
          <w:b/>
        </w:rPr>
        <w:t xml:space="preserve">        </w:t>
      </w:r>
      <w:r>
        <w:rPr>
          <w:sz w:val="24"/>
          <w:b/>
        </w:rPr>
        <w:t>签订时间：</w:t>
      </w:r>
      <w:r>
        <w:rPr>
          <w:sz w:val="24"/>
          <w:b/>
        </w:rPr>
        <w:t>202</w:t>
      </w:r>
      <w:r>
        <w:rPr>
          <w:sz w:val="24"/>
          <w:b/>
        </w:rPr>
        <w:t>5</w:t>
      </w:r>
      <w:r>
        <w:rPr>
          <w:sz w:val="24"/>
          <w:b/>
        </w:rPr>
        <w:t>年</w:t>
      </w:r>
      <w:r>
        <w:rPr>
          <w:sz w:val="24"/>
          <w:b/>
        </w:rPr>
        <w:t xml:space="preserve">  月  日</w:t>
      </w:r>
    </w:p>
    <w:p>
      <w:pPr>
        <w:pStyle w:val="null3"/>
        <w:ind w:firstLine="482"/>
        <w:jc w:val="both"/>
      </w:pPr>
      <w:r>
        <w:rPr>
          <w:sz w:val="24"/>
          <w:b/>
        </w:rPr>
        <w:t>签约地点：</w:t>
      </w:r>
      <w:r>
        <w:rPr>
          <w:sz w:val="24"/>
          <w:b/>
          <w:u w:val="single"/>
        </w:rPr>
        <w:t>广州市增城区</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jc w:val="left"/>
      </w:pPr>
      <w:r>
        <w:rPr>
          <w:sz w:val="24"/>
          <w:b/>
          <w:color w:val="000000"/>
        </w:rPr>
        <w:t>附件</w:t>
      </w:r>
      <w:r>
        <w:rPr>
          <w:sz w:val="24"/>
          <w:b/>
          <w:color w:val="000000"/>
        </w:rPr>
        <w:t>1</w:t>
      </w:r>
      <w:r>
        <w:rPr>
          <w:sz w:val="24"/>
          <w:b/>
          <w:color w:val="000000"/>
        </w:rPr>
        <w:t>：整改通知书</w:t>
      </w:r>
    </w:p>
    <w:tbl>
      <w:tblPr>
        <w:tblW w:w="0" w:type="auto"/>
        <w:tblBorders>
          <w:top w:val="none" w:color="000000" w:sz="4"/>
          <w:left w:val="none" w:color="000000" w:sz="4"/>
          <w:bottom w:val="none" w:color="000000" w:sz="4"/>
          <w:right w:val="none" w:color="000000" w:sz="4"/>
          <w:insideH w:val="none"/>
          <w:insideV w:val="none"/>
        </w:tblBorders>
      </w:tblPr>
      <w:tblGrid>
        <w:gridCol w:w="8223"/>
      </w:tblGrid>
      <w:tr>
        <w:tc>
          <w:tcPr>
            <w:tcW w:type="dxa" w:w="8223"/>
            <w:tcBorders>
              <w:top w:val="double" w:color="000000" w:sz="48"/>
              <w:left w:val="double" w:color="000000" w:sz="48"/>
              <w:bottom w:val="single" w:color="000000" w:sz="4"/>
              <w:right w:val="double" w:color="000000" w:sz="48"/>
            </w:tcBorders>
            <w:tcMar>
              <w:top w:type="dxa" w:w="0"/>
              <w:left w:type="dxa" w:w="105"/>
              <w:bottom w:type="dxa" w:w="0"/>
              <w:right w:type="dxa" w:w="105"/>
            </w:tcMar>
            <w:vAlign w:val="top"/>
          </w:tcPr>
          <w:p>
            <w:pPr>
              <w:pStyle w:val="null3"/>
              <w:jc w:val="both"/>
            </w:pPr>
            <w:r>
              <w:rPr>
                <w:sz w:val="24"/>
                <w:b/>
              </w:rPr>
              <w:t>广州市公安局交警支队增城大队涉案车场保管服务项目整改通知书</w:t>
            </w:r>
          </w:p>
          <w:p>
            <w:pPr>
              <w:pStyle w:val="null3"/>
              <w:jc w:val="center"/>
            </w:pPr>
            <w:r>
              <w:rPr>
                <w:sz w:val="24"/>
              </w:rPr>
              <w:t>编号：【202X】202X年第XXX号</w:t>
            </w:r>
          </w:p>
          <w:p>
            <w:pPr>
              <w:pStyle w:val="null3"/>
              <w:jc w:val="both"/>
            </w:pPr>
            <w:r>
              <w:rPr>
                <w:sz w:val="24"/>
              </w:rPr>
              <w:t>XXXXXXXXX公司：</w:t>
            </w:r>
          </w:p>
          <w:p>
            <w:pPr>
              <w:pStyle w:val="null3"/>
              <w:ind w:firstLine="480"/>
              <w:jc w:val="both"/>
            </w:pPr>
            <w:r>
              <w:rPr>
                <w:sz w:val="24"/>
              </w:rPr>
              <w:t>你公司于年月日在履行</w:t>
            </w:r>
            <w:r>
              <w:rPr>
                <w:sz w:val="24"/>
                <w:b/>
                <w:u w:val="single"/>
              </w:rPr>
              <w:t xml:space="preserve">                            </w:t>
            </w:r>
            <w:r>
              <w:rPr>
                <w:sz w:val="24"/>
              </w:rPr>
              <w:t>工作中未按照合同约定履行义务，</w:t>
            </w:r>
            <w:r>
              <w:rPr>
                <w:sz w:val="24"/>
                <w:color w:val="000000"/>
              </w:rPr>
              <w:t>出现如下情形</w:t>
            </w:r>
            <w:r>
              <w:rPr>
                <w:sz w:val="24"/>
              </w:rPr>
              <w:t>：</w:t>
            </w:r>
          </w:p>
          <w:p>
            <w:pPr>
              <w:pStyle w:val="null3"/>
              <w:ind w:firstLine="420"/>
              <w:jc w:val="both"/>
            </w:pPr>
            <w:r>
              <w:rPr>
                <w:sz w:val="24"/>
              </w:rPr>
              <w:t>特通知你公司，依据《服务项目合同书》第X条第X 款第X项的规定，请于年月日前；将整改结果函告我单位。逾期不改，造成后果将根据合同约定扣分及扣款，并将依法追究相应责任。</w:t>
            </w:r>
          </w:p>
          <w:p>
            <w:pPr>
              <w:pStyle w:val="null3"/>
              <w:ind w:firstLine="480"/>
              <w:jc w:val="both"/>
            </w:pPr>
            <w:r>
              <w:rPr>
                <w:sz w:val="24"/>
              </w:rPr>
              <w:t>（盖章）</w:t>
            </w:r>
          </w:p>
          <w:p>
            <w:pPr>
              <w:pStyle w:val="null3"/>
              <w:jc w:val="center"/>
            </w:pPr>
            <w:r>
              <w:rPr>
                <w:sz w:val="24"/>
              </w:rPr>
              <w:t>年月日</w:t>
            </w:r>
          </w:p>
          <w:p>
            <w:pPr>
              <w:pStyle w:val="null3"/>
              <w:jc w:val="center"/>
            </w:pPr>
            <w:r>
              <w:rPr>
                <w:sz w:val="24"/>
              </w:rPr>
              <w:t>（联系人：XXX，联系电话：XXXXXXXXX）</w:t>
            </w:r>
          </w:p>
        </w:tc>
      </w:tr>
      <w:tr>
        <w:tc>
          <w:tcPr>
            <w:tcW w:type="dxa" w:w="8223"/>
            <w:tcBorders>
              <w:top w:val="none" w:color="000000" w:sz="4"/>
              <w:left w:val="double" w:color="000000" w:sz="48"/>
              <w:bottom w:val="double" w:color="000000" w:sz="48"/>
              <w:right w:val="double" w:color="000000" w:sz="48"/>
            </w:tcBorders>
            <w:tcMar>
              <w:top w:type="dxa" w:w="0"/>
              <w:left w:type="dxa" w:w="105"/>
              <w:bottom w:type="dxa" w:w="0"/>
              <w:right w:type="dxa" w:w="105"/>
            </w:tcMar>
            <w:vAlign w:val="top"/>
          </w:tcPr>
          <w:p>
            <w:pPr>
              <w:pStyle w:val="null3"/>
              <w:jc w:val="both"/>
            </w:pPr>
            <w:r>
              <w:rPr>
                <w:sz w:val="24"/>
              </w:rPr>
              <w:t>被通知公司负责人或委托人签收：</w:t>
            </w:r>
          </w:p>
        </w:tc>
      </w:tr>
    </w:tbl>
    <w:p>
      <w:pPr>
        <w:pStyle w:val="null3"/>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pPr>
      <w:r>
        <w:rPr>
          <w:sz w:val="24"/>
          <w:b/>
          <w:color w:val="000000"/>
        </w:rPr>
        <w:t>附件：</w:t>
      </w:r>
    </w:p>
    <w:p>
      <w:pPr>
        <w:pStyle w:val="null3"/>
        <w:jc w:val="center"/>
      </w:pPr>
      <w:r>
        <w:rPr>
          <w:sz w:val="24"/>
          <w:b/>
          <w:color w:val="000000"/>
        </w:rPr>
        <w:t>涉案车辆</w:t>
      </w:r>
      <w:r>
        <w:rPr>
          <w:sz w:val="24"/>
          <w:b/>
          <w:color w:val="000000"/>
        </w:rPr>
        <w:t>保管服务月度考评总表</w:t>
      </w:r>
    </w:p>
    <w:p>
      <w:pPr>
        <w:pStyle w:val="null3"/>
        <w:jc w:val="center"/>
      </w:pPr>
      <w:r>
        <w:rPr>
          <w:sz w:val="24"/>
          <w:b/>
          <w:color w:val="000000"/>
        </w:rPr>
        <w:t xml:space="preserve">                  （202  年  月）</w:t>
      </w:r>
    </w:p>
    <w:p>
      <w:pPr>
        <w:pStyle w:val="null3"/>
      </w:pPr>
      <w:r>
        <w:rPr>
          <w:sz w:val="24"/>
          <w:color w:val="000000"/>
        </w:rPr>
        <w:t>单位（盖章）：交警大队</w:t>
      </w:r>
    </w:p>
    <w:tbl>
      <w:tblPr>
        <w:tblW w:w="0" w:type="auto"/>
        <w:tblBorders>
          <w:top w:val="single"/>
          <w:left w:val="single"/>
          <w:bottom w:val="single"/>
          <w:right w:val="single"/>
          <w:insideH w:val="single"/>
          <w:insideV w:val="single"/>
        </w:tblBorders>
      </w:tblPr>
      <w:tblGrid>
        <w:gridCol w:w="2193"/>
        <w:gridCol w:w="627"/>
        <w:gridCol w:w="627"/>
        <w:gridCol w:w="627"/>
        <w:gridCol w:w="627"/>
        <w:gridCol w:w="627"/>
        <w:gridCol w:w="627"/>
        <w:gridCol w:w="627"/>
        <w:gridCol w:w="1645"/>
      </w:tblGrid>
      <w:tr>
        <w:tc>
          <w:tcPr>
            <w:tcW w:type="dxa" w:w="3447"/>
            <w:gridSpan w:val="3"/>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t xml:space="preserve"> </w:t>
            </w:r>
          </w:p>
        </w:tc>
        <w:tc>
          <w:tcPr>
            <w:tcW w:type="dxa" w:w="627"/>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627"/>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627"/>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627"/>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627"/>
            <w:tcBorders>
              <w:top w:val="none" w:color="000000" w:sz="4"/>
              <w:left w:val="none" w:color="000000" w:sz="4"/>
              <w:bottom w:val="single" w:color="000000" w:sz="4"/>
              <w:right w:val="none" w:color="000000" w:sz="4"/>
            </w:tcBorders>
            <w:tcMar>
              <w:top w:type="dxa" w:w="0"/>
              <w:left w:type="dxa" w:w="105"/>
              <w:bottom w:type="dxa" w:w="0"/>
              <w:right w:type="dxa" w:w="105"/>
            </w:tcMar>
          </w:tcP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tcPr>
          <w:p/>
        </w:tc>
      </w:tr>
      <w:tr>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扣分项目</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总扣分数（分）</w:t>
            </w:r>
          </w:p>
        </w:tc>
      </w:tr>
      <w:tr>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保管服务</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r>
      <w:tr>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保管项目扣分数（分）</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595959"/>
              </w:rPr>
              <w:t>　</w:t>
            </w:r>
          </w:p>
        </w:tc>
      </w:tr>
      <w:tr>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得分：     分   （100-总扣分数）</w:t>
            </w:r>
          </w:p>
        </w:tc>
        <w:tc>
          <w:tcPr>
            <w:tcW w:type="dxa" w:w="603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 xml:space="preserve">附证件材料：   份。 </w:t>
            </w:r>
          </w:p>
          <w:p>
            <w:pPr>
              <w:pStyle w:val="null3"/>
              <w:jc w:val="left"/>
            </w:pPr>
            <w:r>
              <w:rPr>
                <w:sz w:val="24"/>
                <w:color w:val="000000"/>
              </w:rPr>
              <w:t>1、扣分需要提交证据材料，如照片或书面材料等；</w:t>
            </w:r>
          </w:p>
          <w:p>
            <w:pPr>
              <w:pStyle w:val="null3"/>
              <w:jc w:val="left"/>
            </w:pPr>
            <w:r>
              <w:rPr>
                <w:sz w:val="24"/>
                <w:color w:val="000000"/>
              </w:rPr>
              <w:t>2、扣分必须是证据充分。</w:t>
            </w:r>
          </w:p>
        </w:tc>
      </w:tr>
      <w:tr>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备注</w:t>
            </w:r>
          </w:p>
        </w:tc>
        <w:tc>
          <w:tcPr>
            <w:tcW w:type="dxa" w:w="6034"/>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该考评表按涉案车辆保管两部分进行评分，涉及扣分项目将在对应的项目中按比例扣减当月的服务费用。</w:t>
            </w:r>
          </w:p>
        </w:tc>
      </w:tr>
    </w:tbl>
    <w:p>
      <w:pPr>
        <w:pStyle w:val="null3"/>
      </w:pPr>
      <w:r>
        <w:rPr>
          <w:sz w:val="24"/>
          <w:color w:val="000000"/>
        </w:rPr>
        <w:t xml:space="preserve">填表人：               </w:t>
      </w:r>
      <w:r>
        <w:rPr/>
        <w:t xml:space="preserve"> </w:t>
      </w:r>
      <w:r>
        <w:rPr>
          <w:sz w:val="24"/>
          <w:color w:val="000000"/>
        </w:rPr>
        <w:t xml:space="preserve">单位负责人：              </w:t>
      </w:r>
      <w:r>
        <w:rPr>
          <w:sz w:val="24"/>
          <w:color w:val="000000"/>
        </w:rPr>
        <w:t>填报日期：</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440118-2025-01053</w:t>
      </w:r>
    </w:p>
    <w:p>
      <w:pPr>
        <w:pStyle w:val="null3"/>
        <w:jc w:val="center"/>
        <w:outlineLvl w:val="3"/>
      </w:pPr>
      <w:r>
        <w:rPr>
          <w:sz w:val="24"/>
          <w:b/>
        </w:rPr>
        <w:t>采购项目编号：</w:t>
      </w:r>
      <w:r>
        <w:rPr>
          <w:sz w:val="24"/>
          <w:b/>
        </w:rPr>
        <w:t>GZCQC2500FG02025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2025年-2027年广州市公安局增城区分局交通违法和事故车辆拖吊保管服务项目</w:t>
      </w:r>
      <w:r>
        <w:rPr>
          <w:u w:val="single"/>
        </w:rPr>
        <w:t>”</w:t>
      </w:r>
      <w:r>
        <w:rPr/>
        <w:t>项目的招标[采购项目编号为：</w:t>
      </w:r>
      <w:r>
        <w:rPr>
          <w:u w:val="single"/>
        </w:rPr>
        <w:t>GZCQC2500FG02025</w:t>
      </w:r>
      <w:r>
        <w:rPr/>
        <w:t>]，我方愿参与投标。</w:t>
      </w:r>
    </w:p>
    <w:p>
      <w:pPr>
        <w:pStyle w:val="null3"/>
        <w:ind w:firstLine="480"/>
      </w:pPr>
      <w:r>
        <w:rPr/>
        <w:t>我方确认收到贵方提供的</w:t>
      </w:r>
      <w:r>
        <w:rPr>
          <w:u w:val="single"/>
        </w:rPr>
        <w:t>“</w:t>
      </w:r>
      <w:r>
        <w:rPr>
          <w:u w:val="single"/>
        </w:rPr>
        <w:t>2025年-2027年广州市公安局增城区分局交通违法和事故车辆拖吊保管服务项目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2025年-2027年广州市公安局增城区分局交通违法和事故车辆拖吊保管服务项目</w:t>
      </w:r>
      <w:r>
        <w:rPr/>
        <w:t>”项目采购[采购项目编号为</w:t>
      </w:r>
      <w:r>
        <w:rPr/>
        <w:t>GZCQC2500FG02025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2025年-2027年广州市公安局增城区分局交通违法和事故车辆拖吊保管服务项目</w:t>
      </w:r>
      <w:r>
        <w:rPr/>
        <w:t>招标中获中标（采购项目编号：</w:t>
      </w:r>
      <w:r>
        <w:rPr/>
        <w:t>GZCQC2500FG02025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