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440101-2025-02022</w:t>
      </w:r>
    </w:p>
    <w:p>
      <w:pPr>
        <w:pStyle w:val="null3"/>
        <w:jc w:val="center"/>
        <w:outlineLvl w:val="3"/>
      </w:pPr>
      <w:r>
        <w:rPr>
          <w:sz w:val="24"/>
          <w:b/>
        </w:rPr>
        <w:t>采购项目编号：</w:t>
      </w:r>
      <w:r>
        <w:rPr>
          <w:sz w:val="24"/>
          <w:b/>
        </w:rPr>
        <w:t>GZCQC2500FG010060</w:t>
      </w:r>
    </w:p>
    <w:p>
      <w:pPr>
        <w:pStyle w:val="null3"/>
        <w:jc w:val="center"/>
        <w:outlineLvl w:val="3"/>
      </w:pPr>
      <w:r>
        <w:rPr>
          <w:sz w:val="24"/>
          <w:b/>
        </w:rPr>
        <w:t>项目名称：</w:t>
      </w:r>
      <w:r>
        <w:rPr>
          <w:sz w:val="24"/>
          <w:b/>
        </w:rPr>
        <w:t>城维计划-综合交通规划编制经费（子项10：2025年市级重点交通项目前期研究及主骨架道路、轨道规划及维护）</w:t>
      </w:r>
    </w:p>
    <w:p>
      <w:pPr>
        <w:pStyle w:val="null3"/>
        <w:jc w:val="center"/>
        <w:outlineLvl w:val="3"/>
      </w:pPr>
      <w:r>
        <w:rPr>
          <w:sz w:val="24"/>
          <w:b/>
        </w:rPr>
        <w:t>采购人：</w:t>
      </w:r>
      <w:r>
        <w:rPr>
          <w:sz w:val="24"/>
          <w:b/>
        </w:rPr>
        <w:t>广州市规划和自然资源局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广州市规划和自然资源局</w:t>
      </w:r>
      <w:r>
        <w:rPr/>
        <w:t>的委托，采用</w:t>
      </w:r>
      <w:r>
        <w:rPr/>
        <w:t>公开招标</w:t>
      </w:r>
      <w:r>
        <w:rPr/>
        <w:t>方式组织采购</w:t>
      </w:r>
      <w:r>
        <w:rPr/>
        <w:t>城维计划-综合交通规划编制经费（子项10：2025年市级重点交通项目前期研究及主骨架道路、轨道规划及维护）</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城维计划-综合交通规划编制经费（子项10：2025年市级重点交通项目前期研究及主骨架道路、轨道规划及维护）</w:t>
      </w:r>
    </w:p>
    <w:p>
      <w:pPr>
        <w:pStyle w:val="null3"/>
        <w:ind w:firstLine="480"/>
      </w:pPr>
      <w:r>
        <w:rPr/>
        <w:t>采购计划编号：</w:t>
      </w:r>
      <w:r>
        <w:rPr/>
        <w:t>440101-2025-02022</w:t>
      </w:r>
    </w:p>
    <w:p>
      <w:pPr>
        <w:pStyle w:val="null3"/>
        <w:ind w:firstLine="480"/>
      </w:pPr>
      <w:r>
        <w:rPr/>
        <w:t>采购项目编号：</w:t>
      </w:r>
      <w:r>
        <w:rPr/>
        <w:t>GZCQC2500FG010060</w:t>
      </w:r>
    </w:p>
    <w:p>
      <w:pPr>
        <w:pStyle w:val="null3"/>
        <w:ind w:firstLine="480"/>
      </w:pPr>
      <w:r>
        <w:rPr/>
        <w:t>采购方式：</w:t>
      </w:r>
      <w:r>
        <w:rPr/>
        <w:t>公开招标</w:t>
      </w:r>
    </w:p>
    <w:p>
      <w:pPr>
        <w:pStyle w:val="null3"/>
        <w:ind w:firstLine="480"/>
      </w:pPr>
      <w:r>
        <w:rPr/>
        <w:t>预算金额：</w:t>
      </w:r>
      <w:r>
        <w:rPr/>
        <w:t>2,880,000.00</w:t>
      </w:r>
      <w:r>
        <w:rPr/>
        <w:t>元</w:t>
      </w:r>
    </w:p>
    <w:p>
      <w:pPr>
        <w:pStyle w:val="null3"/>
        <w:outlineLvl w:val="3"/>
      </w:pPr>
      <w:r>
        <w:rPr>
          <w:sz w:val="24"/>
          <w:b/>
        </w:rPr>
        <w:t>2.项目内容及需求情况（采购项目技术规格、参数及要求）</w:t>
      </w:r>
    </w:p>
    <w:p>
      <w:pPr>
        <w:pStyle w:val="null3"/>
      </w:pPr>
      <w:r>
        <w:rPr/>
        <w:t>采购包1(城维计划-综合交通规划编制经费（子项10：2025年市级重点交通项目前期研究及主骨架道路、轨道规划及维护）):</w:t>
      </w:r>
    </w:p>
    <w:p>
      <w:pPr>
        <w:pStyle w:val="null3"/>
      </w:pPr>
      <w:r>
        <w:rPr/>
        <w:t>采购包预算金额：2,880,000.00元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城维计划-综合交通规划编制经费（子项10：2025年市级重点交通项目前期研究及主骨架道路、轨道规划及维护）</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合同履行期限：自合同签订之日起至2026年12月31日。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采购包1（城维计划-综合交通规划编制经费（子项10：2025年市级重点交通项目前期研究及主骨架道路、轨道规划及维护））：</w:t>
      </w: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p>
      <w:pPr>
        <w:pStyle w:val="null3"/>
        <w:outlineLvl w:val="3"/>
      </w:pPr>
      <w:r>
        <w:rPr>
          <w:sz w:val="24"/>
          <w:b/>
        </w:rPr>
        <w:t>3.本项目特定的资格要求：</w:t>
      </w:r>
    </w:p>
    <w:p>
      <w:pPr>
        <w:pStyle w:val="null3"/>
      </w:pPr>
      <w:r>
        <w:rPr/>
        <w:t>采购包1（城维计划-综合交通规划编制经费（子项10：2025年市级重点交通项目前期研究及主骨架道路、轨道规划及维护））：</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广州市规划和自然资源局</w:t>
      </w:r>
    </w:p>
    <w:p>
      <w:pPr>
        <w:pStyle w:val="null3"/>
        <w:ind w:firstLine="480"/>
      </w:pPr>
      <w:r>
        <w:rPr/>
        <w:t xml:space="preserve"> 地址：</w:t>
      </w:r>
      <w:r>
        <w:rPr/>
        <w:t>广州市越秀区吉祥路80号</w:t>
      </w:r>
    </w:p>
    <w:p>
      <w:pPr>
        <w:pStyle w:val="null3"/>
        <w:ind w:firstLine="480"/>
      </w:pPr>
      <w:r>
        <w:rPr/>
        <w:t xml:space="preserve"> 联系方式：</w:t>
      </w:r>
      <w:r>
        <w:rPr/>
        <w:t>020-83332599</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（一）投标人须对本项目的采购标的进行整体投标，任何只对本项目采购标的其中一部分内容、数量进行的投标都被视为无效投标。</w:t>
      </w:r>
    </w:p>
    <w:p>
      <w:pPr>
        <w:pStyle w:val="null3"/>
        <w:ind w:firstLine="482"/>
        <w:jc w:val="both"/>
      </w:pPr>
      <w:r>
        <w:rPr>
          <w:sz w:val="24"/>
          <w:b/>
        </w:rPr>
        <w:t>（二）采购项目一览表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3786"/>
        <w:gridCol w:w="915"/>
        <w:gridCol w:w="3605"/>
      </w:tblGrid>
      <w:tr>
        <w:tc>
          <w:tcPr>
            <w:tcW w:type="dxa" w:w="378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采购标的</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36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最高限价</w:t>
            </w:r>
            <w:r>
              <w:rPr>
                <w:sz w:val="24"/>
                <w:b/>
              </w:rPr>
              <w:t>（人民币/元）</w:t>
            </w:r>
          </w:p>
        </w:tc>
      </w:tr>
      <w:tr>
        <w:tc>
          <w:tcPr>
            <w:tcW w:type="dxa" w:w="37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城维计划-综合交通规划编制经费（子项10：2025年市级重点交通项目前期研究及主骨架道路、轨道规划及维护）</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一项</w:t>
            </w:r>
          </w:p>
        </w:tc>
        <w:tc>
          <w:tcPr>
            <w:tcW w:type="dxa" w:w="36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2,880,000.00</w:t>
            </w:r>
            <w:r>
              <w:rPr>
                <w:sz w:val="24"/>
              </w:rPr>
              <w:t>（其中2025年预算安排人民币1,728,000.00元，2026年预算拟安排人民币1,152,000.00元，具体以财政局批复下达的资金为准。）</w:t>
            </w:r>
          </w:p>
        </w:tc>
      </w:tr>
    </w:tbl>
    <w:p>
      <w:pPr>
        <w:pStyle w:val="null3"/>
      </w:pPr>
      <w:r>
        <w:rPr/>
        <w:t>采购包1（城维计划-综合交通规划编制经费（子项10：2025年市级重点交通项目前期研究及主骨架道路、轨道规划及维护））</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自合同签订之日起至2026年12月31日。</w:t>
            </w:r>
          </w:p>
        </w:tc>
      </w:tr>
      <w:tr>
        <w:tc>
          <w:tcPr>
            <w:tcW w:type="dxa" w:w="4153"/>
          </w:tcPr>
          <w:p>
            <w:pPr>
              <w:pStyle w:val="null3"/>
            </w:pPr>
            <w:r>
              <w:rPr/>
              <w:t>标的提供的地点</w:t>
            </w:r>
          </w:p>
        </w:tc>
        <w:tc>
          <w:tcPr>
            <w:tcW w:type="dxa" w:w="4153"/>
          </w:tcPr>
          <w:p>
            <w:pPr>
              <w:pStyle w:val="null3"/>
            </w:pPr>
            <w:r>
              <w:rPr/>
              <w:t>广州市</w:t>
            </w:r>
          </w:p>
        </w:tc>
      </w:tr>
      <w:tr/>
      <w:tr/>
      <w:tr>
        <w:tc>
          <w:tcPr>
            <w:tcW w:type="dxa" w:w="4153"/>
          </w:tcPr>
          <w:p>
            <w:pPr>
              <w:pStyle w:val="null3"/>
            </w:pPr>
            <w:r>
              <w:rPr/>
              <w:t>付款方式</w:t>
            </w:r>
          </w:p>
        </w:tc>
        <w:tc>
          <w:tcPr>
            <w:tcW w:type="dxa" w:w="4153"/>
          </w:tcPr>
          <w:p>
            <w:pPr>
              <w:pStyle w:val="null3"/>
            </w:pPr>
            <w:r>
              <w:rPr/>
              <w:t>第1期为(预付款)：支付比例40%，签订合同后，采购人自收到发票后5个工作日内向中标人支付本项目合同总金额的40%。预计在2025年3月31日前支付第一期费用。</w:t>
            </w:r>
          </w:p>
          <w:p>
            <w:pPr>
              <w:pStyle w:val="null3"/>
            </w:pPr>
            <w:r>
              <w:rPr/>
              <w:t>第2期为(进度款)：支付比例20%，2025年9月30日前，中标人按期完成规划成果，并通过专家评审后申请拨付合同经费，合同总金额的20%。预计在2025年9月 30日前支付第二期费用。</w:t>
            </w:r>
          </w:p>
          <w:p>
            <w:pPr>
              <w:pStyle w:val="null3"/>
            </w:pPr>
            <w:r>
              <w:rPr/>
              <w:t>第3期为(尾款)：支付比例40%，2026年3月31日前，中标人根据采购人审查意见修改规划成果。最终成果经采购人验收通过并出具结题函，待成果归档后申请拨付合同经费，合同总金额的40%。预计在2026年3月31日前支付第三期费用。 注： （1）对于满足合同支付条件的，采购人原则上应当在收到发票后5个工作日内按照《广州市本级财政直接支付用款申请办事指南》办理支付手续。 （2）每次按合同支付款项前，中标人应向采购人提供与支付金额相符的有效发票，且收款方、出具发票方、合同乙方均必须与中标人名称一致。 （3）因采购人使用的是财政资金，采购人在前款规定的付款时间内向支付部门提出办理财政支付申请手续的时间（不含政府财政支付部门审核的时间）即视为采购人已经按期支付，实际付款时间及金额以支付部门支付时间及金额为准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1期：双方确定以下列标准和方式对中标人的技术服务工作成果进行验收： 1.中标人完成技术服务工作的形式：本项工作采取分阶段评审的方式，广州市规划和自然资源局负责组织审查工作。 2.技术服务工作成果的验收标准：符合项目任务书研究内容的要求，且通过采购人组织的专家审查会审查。 3.技术服务工作成果的验收方法：研究成果由广州市规划和自然资源局组织审查；项目承担单位负责提供审查和验收所必须的研究成果和汇报资料。 4.验收的时间和地点：由采购人决定。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★报价要求，本项目总价报价，凡超过最高限价的投标报价均视为无效报价。</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城维计划-综合交通规划编制经费（子项10：2025年市级重点交通项目前期研究及主骨架道路、轨道规划及维护）</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2,880,000.00</w:t>
            </w:r>
          </w:p>
        </w:tc>
        <w:tc>
          <w:tcPr>
            <w:tcW w:type="dxa" w:w="933"/>
          </w:tcPr>
          <w:p>
            <w:pPr>
              <w:pStyle w:val="null3"/>
              <w:jc w:val="right"/>
            </w:pPr>
            <w:r>
              <w:rPr/>
              <w:t>2,880,000.00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城维计划-综合交通规划编制经费（子项10：2025年市级重点交通项目前期研究及主骨架道路、轨道规划及维护）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color w:val="000000"/>
              </w:rPr>
              <w:t>一、项目背景</w:t>
            </w:r>
          </w:p>
          <w:p>
            <w:pPr>
              <w:pStyle w:val="null3"/>
              <w:ind w:firstLine="480"/>
              <w:jc w:val="both"/>
            </w:pPr>
            <w:r>
              <w:rPr>
                <w:sz w:val="24"/>
                <w:color w:val="000000"/>
              </w:rPr>
              <w:t>2025</w:t>
            </w:r>
            <w:r>
              <w:rPr>
                <w:sz w:val="24"/>
                <w:color w:val="000000"/>
              </w:rPr>
              <w:t>年是“十四五”的收官之年，响应《广州市国土空间总体规划（2021—2035年）》（国函〔2024〕137号）和《广州市综合交通体系规划（2023-2035年）》（已印发实施）赋予广州的“国际性综合交通枢纽城市”和“全球重要综合交通枢纽”建设目标，落实广东省建设环南昆山—罗浮山县镇村高质量发展示范区工作部署要求，稳步推进广州“两洋南拓，两江东进”城市发展战略，保障2025年万亿固投项目实施落地和第十五届全国运动会顺利召开，紧紧围绕交通先导性和保障性功能，需要严格落实上位规划，深化交通与城市融合发展，加强交通规划传导，与时俱进全面做好交通的优化提升和维护工作。</w:t>
            </w:r>
          </w:p>
          <w:p>
            <w:pPr>
              <w:pStyle w:val="null3"/>
              <w:ind w:firstLine="480"/>
              <w:jc w:val="both"/>
            </w:pPr>
            <w:r>
              <w:rPr>
                <w:sz w:val="24"/>
                <w:color w:val="000000"/>
              </w:rPr>
              <w:t>《中共中央 国务院关于建立国土空间规划体系并监督实施的若干意见》要求相关专项规划要遵循国土空间总体规划，主要内容要纳入详细规划。自然资源部《关于加强国土空间详细规划工作的通知》要求积极发挥详细规划法定作用，分区分类推进详细规划编制，强化技术支撑和组织实施，提高详细规划的针对性和可实施性。国务院关于《广州市国土空间总体规划（2021—2035年）》的批复要求协调产业布局、综合交通、设施配置和土地使用的关系，做好重大基础设施的空间预留，按照“统一底图、统一标准、统一规划、统一平台”的要求，完善国土空间规划“一张图”系统和国土空间基础信息平台。2023和2024年广州市规划自然资源局先后印发《广州市轨道交通线网规划“一张图”规划管理工作指引(试行)》和《广州市主骨架路网红线规划管控规则 (试行) 》，对轨道和道路“一张图”管控、动态更新及调整提出明确要求。</w:t>
            </w:r>
          </w:p>
          <w:p>
            <w:pPr>
              <w:pStyle w:val="null3"/>
              <w:ind w:firstLine="480"/>
              <w:jc w:val="both"/>
            </w:pPr>
            <w:r>
              <w:rPr>
                <w:sz w:val="24"/>
                <w:color w:val="000000"/>
              </w:rPr>
              <w:t>为更好的服务城市建设和发展，促进国土空间规划相关重点交通项目在详规阶段的落实传导，加强轨道、道路等交通设施与城市规划、用地规划、产业布局的协调，保障规划轨道、道路项目用地空间，助力用地管控、规划审批工作，确保现状及在建轨道、道路项目运营安全，特开展《2025年市级重点交通项目前期研究及主骨架道路、轨道交通规划及维护》编制工作。</w:t>
            </w:r>
          </w:p>
        </w:tc>
      </w:tr>
      <w:tr>
        <w:tc>
          <w:tcPr>
            <w:tcW w:type="dxa" w:w="2076"/>
          </w:tcPr>
          <w:p/>
        </w:tc>
        <w:tc>
          <w:tcPr>
            <w:tcW w:type="dxa" w:w="415"/>
          </w:tcPr>
          <w:p>
            <w:pPr>
              <w:pStyle w:val="null3"/>
            </w:pPr>
            <w:r>
              <w:rPr/>
              <w:t>2</w:t>
            </w:r>
          </w:p>
        </w:tc>
        <w:tc>
          <w:tcPr>
            <w:tcW w:type="dxa" w:w="5814"/>
          </w:tcPr>
          <w:p>
            <w:pPr>
              <w:pStyle w:val="null3"/>
              <w:ind w:firstLine="482"/>
              <w:jc w:val="both"/>
            </w:pPr>
            <w:r>
              <w:rPr>
                <w:sz w:val="24"/>
                <w:b/>
              </w:rPr>
              <w:t>二、工作范围、年限及深度</w:t>
            </w:r>
          </w:p>
          <w:p>
            <w:pPr>
              <w:pStyle w:val="null3"/>
              <w:ind w:firstLine="482"/>
              <w:jc w:val="both"/>
            </w:pPr>
            <w:r>
              <w:rPr>
                <w:sz w:val="24"/>
                <w:b/>
              </w:rPr>
              <w:t>1、规划范围</w:t>
            </w:r>
          </w:p>
          <w:p>
            <w:pPr>
              <w:pStyle w:val="null3"/>
              <w:ind w:firstLine="480"/>
              <w:jc w:val="both"/>
            </w:pPr>
            <w:r>
              <w:rPr>
                <w:sz w:val="24"/>
              </w:rPr>
              <w:t>广州市域范围，包含11个区。</w:t>
            </w:r>
          </w:p>
          <w:p>
            <w:pPr>
              <w:pStyle w:val="null3"/>
              <w:ind w:firstLine="482"/>
              <w:jc w:val="both"/>
            </w:pPr>
            <w:r>
              <w:rPr>
                <w:sz w:val="24"/>
                <w:b/>
              </w:rPr>
              <w:t>2、规划年限</w:t>
            </w:r>
          </w:p>
          <w:p>
            <w:pPr>
              <w:pStyle w:val="null3"/>
              <w:ind w:firstLine="480"/>
              <w:jc w:val="both"/>
            </w:pPr>
            <w:r>
              <w:rPr>
                <w:sz w:val="24"/>
              </w:rPr>
              <w:t>本项目研究基准年为2024年，规划年为2035年。</w:t>
            </w:r>
          </w:p>
          <w:p>
            <w:pPr>
              <w:pStyle w:val="null3"/>
              <w:ind w:firstLine="482"/>
              <w:jc w:val="both"/>
            </w:pPr>
            <w:r>
              <w:rPr>
                <w:sz w:val="24"/>
                <w:b/>
              </w:rPr>
              <w:t>3、规划深度</w:t>
            </w:r>
          </w:p>
          <w:p>
            <w:pPr>
              <w:pStyle w:val="null3"/>
              <w:ind w:firstLine="480"/>
              <w:jc w:val="both"/>
            </w:pPr>
            <w:r>
              <w:rPr>
                <w:sz w:val="24"/>
              </w:rPr>
              <w:t>重点交通项目前期研究达到详细规划深度，主骨架道路、轨道交通动态维护满足规划管控要求。</w:t>
            </w:r>
          </w:p>
        </w:tc>
      </w:tr>
      <w:tr>
        <w:tc>
          <w:tcPr>
            <w:tcW w:type="dxa" w:w="2076"/>
          </w:tcPr>
          <w:p/>
        </w:tc>
        <w:tc>
          <w:tcPr>
            <w:tcW w:type="dxa" w:w="415"/>
          </w:tcPr>
          <w:p>
            <w:pPr>
              <w:pStyle w:val="null3"/>
            </w:pPr>
            <w:r>
              <w:rPr/>
              <w:t>3</w:t>
            </w:r>
          </w:p>
        </w:tc>
        <w:tc>
          <w:tcPr>
            <w:tcW w:type="dxa" w:w="5814"/>
          </w:tcPr>
          <w:p>
            <w:pPr>
              <w:pStyle w:val="null3"/>
              <w:ind w:firstLine="482"/>
              <w:jc w:val="both"/>
            </w:pPr>
            <w:r>
              <w:rPr>
                <w:sz w:val="24"/>
                <w:b/>
              </w:rPr>
              <w:t>三、编制原则</w:t>
            </w:r>
          </w:p>
          <w:p>
            <w:pPr>
              <w:pStyle w:val="null3"/>
              <w:ind w:firstLine="482"/>
              <w:jc w:val="both"/>
            </w:pPr>
            <w:r>
              <w:rPr>
                <w:sz w:val="24"/>
                <w:b/>
              </w:rPr>
              <w:t>1、与上层规划协调原则。</w:t>
            </w:r>
            <w:r>
              <w:rPr>
                <w:sz w:val="24"/>
              </w:rPr>
              <w:t>规划应与《广州市国土空间总体规划（2021-2035）》、《广州市综合交通体系规划（2023-2035）》、《广州市轨道交通线网规划（2018-2035）》等上层次规划相协调，落实上层次规划意图。</w:t>
            </w:r>
          </w:p>
          <w:p>
            <w:pPr>
              <w:pStyle w:val="null3"/>
              <w:ind w:firstLine="482"/>
              <w:jc w:val="both"/>
            </w:pPr>
            <w:r>
              <w:rPr>
                <w:sz w:val="24"/>
                <w:b/>
              </w:rPr>
              <w:t>2、与国土空间规划互动原则。</w:t>
            </w:r>
            <w:r>
              <w:rPr>
                <w:sz w:val="24"/>
              </w:rPr>
              <w:t>主骨架路网及轨道交通维护、重点交通项目规划控制方案应从支撑广州国土空间结构，支持“三核四极”发展，引导城市空间集约化发展等角度开展研究。</w:t>
            </w:r>
          </w:p>
          <w:p>
            <w:pPr>
              <w:pStyle w:val="null3"/>
              <w:ind w:firstLine="482"/>
              <w:jc w:val="both"/>
            </w:pPr>
            <w:r>
              <w:rPr>
                <w:sz w:val="24"/>
                <w:b/>
              </w:rPr>
              <w:t>3、利于规划管控与实施原则。</w:t>
            </w:r>
            <w:r>
              <w:rPr>
                <w:sz w:val="24"/>
              </w:rPr>
              <w:t>规划方案应有利于空间管控与项目实施，原则上避让生态保护红线、文物、基本农田，协调历史审批，不增加征地拆迁难度，不增加工程实施难度。</w:t>
            </w:r>
          </w:p>
          <w:p>
            <w:pPr>
              <w:pStyle w:val="null3"/>
              <w:ind w:firstLine="482"/>
              <w:jc w:val="both"/>
            </w:pPr>
            <w:r>
              <w:rPr>
                <w:sz w:val="24"/>
                <w:b/>
              </w:rPr>
              <w:t>4、前瞻性与可操作性兼顾原则。</w:t>
            </w:r>
            <w:r>
              <w:rPr>
                <w:sz w:val="24"/>
              </w:rPr>
              <w:t>规划应具有宏观引导作用，为远期发展预留空间与可能性，充分体现规划前瞻性；同时需要提前做好规划控制，保障项目落地实施的可操作性。</w:t>
            </w:r>
          </w:p>
        </w:tc>
      </w:tr>
      <w:tr>
        <w:tc>
          <w:tcPr>
            <w:tcW w:type="dxa" w:w="2076"/>
          </w:tcPr>
          <w:p/>
        </w:tc>
        <w:tc>
          <w:tcPr>
            <w:tcW w:type="dxa" w:w="415"/>
          </w:tcPr>
          <w:p>
            <w:pPr>
              <w:pStyle w:val="null3"/>
            </w:pPr>
            <w:r>
              <w:rPr/>
              <w:t>4</w:t>
            </w:r>
          </w:p>
        </w:tc>
        <w:tc>
          <w:tcPr>
            <w:tcW w:type="dxa" w:w="5814"/>
          </w:tcPr>
          <w:p>
            <w:pPr>
              <w:pStyle w:val="null3"/>
              <w:ind w:firstLine="482"/>
              <w:jc w:val="both"/>
            </w:pPr>
            <w:r>
              <w:rPr>
                <w:sz w:val="24"/>
                <w:b/>
              </w:rPr>
              <w:t>四、编制内容</w:t>
            </w:r>
          </w:p>
          <w:p>
            <w:pPr>
              <w:pStyle w:val="null3"/>
              <w:ind w:firstLine="482"/>
              <w:jc w:val="both"/>
            </w:pPr>
            <w:r>
              <w:rPr>
                <w:sz w:val="24"/>
                <w:b/>
              </w:rPr>
              <w:t>1、研究背景和意义</w:t>
            </w:r>
          </w:p>
          <w:p>
            <w:pPr>
              <w:pStyle w:val="null3"/>
              <w:ind w:firstLine="480"/>
              <w:jc w:val="both"/>
            </w:pPr>
            <w:r>
              <w:rPr>
                <w:sz w:val="24"/>
              </w:rPr>
              <w:t>为响应国家、省、市和重点地区发展新要求，支撑城市重点地区和重大交通专项工作，促进国土空间规划相关重点交通项目在详规阶段的落实传导，加强交通与用地规划、产业布局的协调，剖析项目研究背景和意义，明确项目研究主要内容，制定研究技术路线。</w:t>
            </w:r>
          </w:p>
          <w:p>
            <w:pPr>
              <w:pStyle w:val="null3"/>
              <w:ind w:firstLine="482"/>
              <w:jc w:val="both"/>
            </w:pPr>
            <w:r>
              <w:rPr>
                <w:sz w:val="24"/>
                <w:b/>
              </w:rPr>
              <w:t>2、规划研究基础</w:t>
            </w:r>
          </w:p>
          <w:p>
            <w:pPr>
              <w:pStyle w:val="null3"/>
              <w:ind w:firstLine="480"/>
              <w:jc w:val="both"/>
            </w:pPr>
            <w:r>
              <w:rPr>
                <w:sz w:val="24"/>
              </w:rPr>
              <w:t>收集市区国土空间总体规划、全市在编控制性详细规划、2025年控制性详细规划编制计划、用地储备计划、用地出让计划、工业园区建设计划、重点平台推进计划，形成涵盖全市不同类型重点项目的一张总图，梳理当前交通规划与当前城市重点规划和建设项目的关系，进而形成本项目重点交通专项、主骨架道路、轨道交通、重要换乘与立交节点等交通项目前期研究需求。</w:t>
            </w:r>
          </w:p>
          <w:p>
            <w:pPr>
              <w:pStyle w:val="null3"/>
              <w:ind w:firstLine="482"/>
              <w:jc w:val="both"/>
            </w:pPr>
            <w:r>
              <w:rPr>
                <w:sz w:val="24"/>
                <w:b/>
              </w:rPr>
              <w:t>3、交通规划方案研究</w:t>
            </w:r>
          </w:p>
          <w:p>
            <w:pPr>
              <w:pStyle w:val="null3"/>
              <w:ind w:firstLine="480"/>
              <w:jc w:val="both"/>
            </w:pPr>
            <w:r>
              <w:rPr>
                <w:sz w:val="24"/>
              </w:rPr>
              <w:t>围绕2025年度交通项目前期研究需求，与专项规划、重点规划建设项目同步，开展交通方案研究工作，包括主骨架路网红线、规划轨道线路、轨道交通第四期建设规划线路、山海碧带骑行道贯通方案、重要换乘与立交节点开展详细方案等，保障省、市重点项目落地，加强交通与城市建设、产业布局的协调。</w:t>
            </w:r>
          </w:p>
          <w:p>
            <w:pPr>
              <w:pStyle w:val="null3"/>
              <w:ind w:firstLine="482"/>
              <w:jc w:val="both"/>
            </w:pPr>
            <w:r>
              <w:rPr>
                <w:sz w:val="24"/>
                <w:b/>
              </w:rPr>
              <w:t>4、交通“一张图”动态维护</w:t>
            </w:r>
          </w:p>
          <w:p>
            <w:pPr>
              <w:pStyle w:val="null3"/>
              <w:ind w:firstLine="480"/>
              <w:jc w:val="both"/>
            </w:pPr>
            <w:r>
              <w:rPr>
                <w:sz w:val="24"/>
              </w:rPr>
              <w:t>根据道路和轨道“一张图”规划管控要求，按照详细规划及专项规划批复，按月更新主骨架道路红线，按季度更新在建轨道和已完成调整优化流程的规划轨道管控图则，及时更新2025年开通运营轨道管控图则，保障管控的时效性与权威性。</w:t>
            </w:r>
          </w:p>
          <w:p>
            <w:pPr>
              <w:pStyle w:val="null3"/>
              <w:ind w:firstLine="482"/>
              <w:jc w:val="both"/>
            </w:pPr>
            <w:r>
              <w:rPr>
                <w:sz w:val="24"/>
                <w:b/>
              </w:rPr>
              <w:t>5、交通规划技术咨询和保障服务</w:t>
            </w:r>
          </w:p>
          <w:p>
            <w:pPr>
              <w:pStyle w:val="null3"/>
              <w:ind w:firstLine="480"/>
              <w:jc w:val="both"/>
            </w:pPr>
            <w:r>
              <w:rPr>
                <w:sz w:val="24"/>
              </w:rPr>
              <w:t>为服务规划审批与管理工作，对纳入联审的重大道路交通类项目、市域重大高快速路项目，在项目前期方案研究、联审各阶段（协同会审、联合评审、联审决策），开展项目方案规划技术咨询服务。在总结全市道路品质提升建设成果和经验的基础上，结合规划建设流程，制定广州市道路品质提升规划设计指引，为长效推进全市道路品质提升工作提供技术支撑。</w:t>
            </w:r>
          </w:p>
        </w:tc>
      </w:tr>
      <w:tr>
        <w:tc>
          <w:tcPr>
            <w:tcW w:type="dxa" w:w="2076"/>
          </w:tcPr>
          <w:p/>
        </w:tc>
        <w:tc>
          <w:tcPr>
            <w:tcW w:type="dxa" w:w="415"/>
          </w:tcPr>
          <w:p>
            <w:pPr>
              <w:pStyle w:val="null3"/>
            </w:pPr>
            <w:r>
              <w:rPr/>
              <w:t>5</w:t>
            </w:r>
          </w:p>
        </w:tc>
        <w:tc>
          <w:tcPr>
            <w:tcW w:type="dxa" w:w="5814"/>
          </w:tcPr>
          <w:p>
            <w:pPr>
              <w:pStyle w:val="null3"/>
              <w:ind w:firstLine="482"/>
              <w:jc w:val="both"/>
            </w:pPr>
            <w:r>
              <w:rPr>
                <w:sz w:val="24"/>
                <w:b/>
              </w:rPr>
              <w:t>五、成果提交要求</w:t>
            </w:r>
          </w:p>
          <w:p>
            <w:pPr>
              <w:pStyle w:val="null3"/>
              <w:ind w:firstLine="480"/>
              <w:jc w:val="both"/>
            </w:pPr>
            <w:r>
              <w:rPr>
                <w:sz w:val="24"/>
              </w:rPr>
              <w:t>1、设计成果内容必须符合需求书中的设计原则、规划内容等有关章节的规定。</w:t>
            </w:r>
          </w:p>
          <w:p>
            <w:pPr>
              <w:pStyle w:val="null3"/>
              <w:ind w:firstLine="480"/>
              <w:jc w:val="both"/>
            </w:pPr>
            <w:r>
              <w:rPr>
                <w:sz w:val="24"/>
              </w:rPr>
              <w:t>2、规划设计成果包括：规划文本、图纸和附件以及相对应的电子文件，符合入库标准。</w:t>
            </w:r>
          </w:p>
          <w:p>
            <w:pPr>
              <w:pStyle w:val="null3"/>
              <w:ind w:firstLine="480"/>
              <w:jc w:val="both"/>
            </w:pPr>
            <w:r>
              <w:rPr>
                <w:sz w:val="24"/>
              </w:rPr>
              <w:t>3、成果深度：设计成果的深度必须符合需求书中的深度要求。</w:t>
            </w:r>
          </w:p>
          <w:p>
            <w:pPr>
              <w:pStyle w:val="null3"/>
              <w:ind w:firstLine="480"/>
              <w:jc w:val="both"/>
            </w:pPr>
            <w:r>
              <w:rPr>
                <w:sz w:val="24"/>
              </w:rPr>
              <w:t>4、在各阶段成果等各阶段汇报交流后，应随即提交项目各阶段性方案的全部电子文件（CAD、PPT、JPG文件格式）。最终成果须提交A3规格的规划文本10套，同时提交全部成果的电子文件（CAD、GIS、JPG、DOC、PDF文件格式，符合入库标准、多媒体汇报文件）2套。</w:t>
            </w:r>
          </w:p>
          <w:p>
            <w:pPr>
              <w:pStyle w:val="null3"/>
              <w:ind w:firstLine="480"/>
              <w:jc w:val="both"/>
            </w:pPr>
            <w:r>
              <w:rPr>
                <w:sz w:val="24"/>
              </w:rPr>
              <w:t>5、成果规范：交付的成果必须签署齐全，设计图纸和文本文件必须做到清晰、完整，尺寸齐全、准确，同类图纸规格应统一。</w:t>
            </w:r>
          </w:p>
        </w:tc>
      </w:tr>
      <w:tr>
        <w:tc>
          <w:tcPr>
            <w:tcW w:type="dxa" w:w="2076"/>
          </w:tcPr>
          <w:p/>
        </w:tc>
        <w:tc>
          <w:tcPr>
            <w:tcW w:type="dxa" w:w="415"/>
          </w:tcPr>
          <w:p>
            <w:pPr>
              <w:pStyle w:val="null3"/>
            </w:pPr>
            <w:r>
              <w:rPr/>
              <w:t>6</w:t>
            </w:r>
          </w:p>
        </w:tc>
        <w:tc>
          <w:tcPr>
            <w:tcW w:type="dxa" w:w="5814"/>
          </w:tcPr>
          <w:p>
            <w:pPr>
              <w:pStyle w:val="null3"/>
              <w:ind w:firstLine="482"/>
              <w:jc w:val="both"/>
            </w:pPr>
            <w:r>
              <w:rPr>
                <w:sz w:val="24"/>
                <w:b/>
              </w:rPr>
              <w:t>六、规划成果的报送和审查</w:t>
            </w:r>
          </w:p>
          <w:p>
            <w:pPr>
              <w:pStyle w:val="null3"/>
              <w:ind w:firstLine="480"/>
              <w:jc w:val="both"/>
            </w:pPr>
            <w:r>
              <w:rPr>
                <w:sz w:val="24"/>
              </w:rPr>
              <w:t>1、本项工作采取分阶段评审的方式，广州市规划和自然资源局负责组织审查工作。中标人负责审查所必须的汇报资料和进行研究方案介绍。</w:t>
            </w:r>
          </w:p>
          <w:p>
            <w:pPr>
              <w:pStyle w:val="null3"/>
              <w:ind w:firstLine="480"/>
              <w:jc w:val="both"/>
            </w:pPr>
            <w:r>
              <w:rPr>
                <w:sz w:val="24"/>
              </w:rPr>
              <w:t>2、中标人必须于审查前5日派专人将规划成果送达广州市规划和自然资源局。</w:t>
            </w:r>
          </w:p>
          <w:p>
            <w:pPr>
              <w:pStyle w:val="null3"/>
              <w:ind w:firstLine="480"/>
              <w:jc w:val="both"/>
            </w:pPr>
            <w:r>
              <w:rPr>
                <w:sz w:val="24"/>
              </w:rPr>
              <w:t>3、通过审查后，中标人应根据审查意见修改并按时提交审批成果。各阶段提交成果文本的数量与组织单位协商后确定。</w:t>
            </w:r>
          </w:p>
          <w:p>
            <w:pPr>
              <w:pStyle w:val="null3"/>
              <w:ind w:firstLine="480"/>
              <w:jc w:val="both"/>
            </w:pPr>
            <w:r>
              <w:rPr>
                <w:sz w:val="24"/>
              </w:rPr>
              <w:t>4、提交的正式规划成果必须在成果报告上加注委托单位名称、技术协调单位名称、中标人名称及法人代表、项目负责人和设计人员名单及加盖中标人公章及城市规划设计出图专用章。</w:t>
            </w:r>
          </w:p>
        </w:tc>
      </w:tr>
      <w:tr>
        <w:tc>
          <w:tcPr>
            <w:tcW w:type="dxa" w:w="2076"/>
          </w:tcPr>
          <w:p/>
        </w:tc>
        <w:tc>
          <w:tcPr>
            <w:tcW w:type="dxa" w:w="415"/>
          </w:tcPr>
          <w:p>
            <w:pPr>
              <w:pStyle w:val="null3"/>
            </w:pPr>
            <w:r>
              <w:rPr/>
              <w:t>7</w:t>
            </w:r>
          </w:p>
        </w:tc>
        <w:tc>
          <w:tcPr>
            <w:tcW w:type="dxa" w:w="5814"/>
          </w:tcPr>
          <w:p>
            <w:pPr>
              <w:pStyle w:val="null3"/>
              <w:ind w:firstLine="482"/>
              <w:jc w:val="both"/>
            </w:pPr>
            <w:r>
              <w:rPr>
                <w:sz w:val="24"/>
                <w:b/>
              </w:rPr>
              <w:t>七、附则</w:t>
            </w:r>
          </w:p>
          <w:p>
            <w:pPr>
              <w:pStyle w:val="null3"/>
              <w:ind w:firstLine="480"/>
              <w:jc w:val="both"/>
            </w:pPr>
            <w:r>
              <w:rPr>
                <w:sz w:val="24"/>
              </w:rPr>
              <w:t>1、本研究署名权版权归采购人所有；采购人有权在规划制定后公开展示规划成果，并通过传播、媒介、专业杂志、书刊或其它形式介绍、展示规划方案。中标人未经采购人允许，不得以任何形式公开或截取公开本研究成果。</w:t>
            </w:r>
          </w:p>
          <w:p>
            <w:pPr>
              <w:pStyle w:val="null3"/>
              <w:ind w:firstLine="480"/>
              <w:jc w:val="both"/>
            </w:pPr>
            <w:r>
              <w:rPr>
                <w:sz w:val="24"/>
              </w:rPr>
              <w:t>2、中标人如对本任务书有疑问，应在接到任务书后以书面形式提出，组织单位在收到意见后将以电子邮件或书面形式作出答复。</w:t>
            </w:r>
          </w:p>
          <w:p>
            <w:pPr>
              <w:pStyle w:val="null3"/>
              <w:ind w:firstLine="480"/>
              <w:jc w:val="both"/>
            </w:pPr>
            <w:r>
              <w:rPr>
                <w:sz w:val="24"/>
              </w:rPr>
              <w:t>3、中标人所提交的规划成果有下列情形之一的视为成果无效，按技术服务合同规定承担相应责任。</w:t>
            </w:r>
          </w:p>
          <w:p>
            <w:pPr>
              <w:pStyle w:val="null3"/>
              <w:ind w:firstLine="480"/>
              <w:jc w:val="both"/>
            </w:pPr>
            <w:r>
              <w:rPr>
                <w:sz w:val="24"/>
              </w:rPr>
              <w:t>（1）提交的研究成果不符合本任务书规定的；</w:t>
            </w:r>
          </w:p>
          <w:p>
            <w:pPr>
              <w:pStyle w:val="null3"/>
              <w:ind w:firstLine="480"/>
              <w:jc w:val="both"/>
            </w:pPr>
            <w:r>
              <w:rPr>
                <w:sz w:val="24"/>
              </w:rPr>
              <w:t>（2）提交的图纸和文字辨认不清，内容不全或粗制滥造的；</w:t>
            </w:r>
          </w:p>
          <w:p>
            <w:pPr>
              <w:pStyle w:val="null3"/>
              <w:ind w:firstLine="480"/>
              <w:jc w:val="both"/>
            </w:pPr>
            <w:r>
              <w:rPr>
                <w:sz w:val="24"/>
              </w:rPr>
              <w:t>（3）未经组织单位同意逾期上报研究成果的；</w:t>
            </w:r>
          </w:p>
          <w:p>
            <w:pPr>
              <w:pStyle w:val="null3"/>
              <w:ind w:firstLine="480"/>
              <w:jc w:val="both"/>
            </w:pPr>
            <w:r>
              <w:rPr>
                <w:sz w:val="24"/>
              </w:rPr>
              <w:t>（4）本规划任务书解释权归广州市规划和自然资源局所有。</w:t>
            </w:r>
          </w:p>
        </w:tc>
      </w:tr>
      <w:tr>
        <w:tc>
          <w:tcPr>
            <w:tcW w:type="dxa" w:w="2076"/>
          </w:tcPr>
          <w:p>
            <w:pPr>
              <w:pStyle w:val="null3"/>
            </w:pPr>
            <w:r>
              <w:rPr/>
              <w:t>▲</w:t>
            </w:r>
          </w:p>
        </w:tc>
        <w:tc>
          <w:tcPr>
            <w:tcW w:type="dxa" w:w="415"/>
          </w:tcPr>
          <w:p>
            <w:pPr>
              <w:pStyle w:val="null3"/>
            </w:pPr>
            <w:r>
              <w:rPr/>
              <w:t>8</w:t>
            </w:r>
          </w:p>
        </w:tc>
        <w:tc>
          <w:tcPr>
            <w:tcW w:type="dxa" w:w="5814"/>
          </w:tcPr>
          <w:p>
            <w:pPr>
              <w:pStyle w:val="null3"/>
              <w:ind w:firstLine="480"/>
              <w:jc w:val="both"/>
            </w:pPr>
            <w:r>
              <w:rPr>
                <w:sz w:val="24"/>
              </w:rPr>
              <w:t>▲</w:t>
            </w:r>
            <w:r>
              <w:rPr>
                <w:sz w:val="24"/>
                <w:b/>
              </w:rPr>
              <w:t>八、服务团队要求</w:t>
            </w:r>
          </w:p>
          <w:p>
            <w:pPr>
              <w:pStyle w:val="null3"/>
              <w:ind w:firstLine="480"/>
              <w:jc w:val="both"/>
            </w:pPr>
            <w:r>
              <w:rPr>
                <w:sz w:val="24"/>
              </w:rPr>
              <w:t>投标人应为本项目成立项目团队，并明确项目负责人（1人）。基本要求如下：</w:t>
            </w:r>
          </w:p>
          <w:p>
            <w:pPr>
              <w:pStyle w:val="null3"/>
              <w:ind w:firstLine="480"/>
              <w:jc w:val="both"/>
            </w:pPr>
            <w:r>
              <w:rPr>
                <w:sz w:val="24"/>
              </w:rPr>
              <w:t>1、项目负责人需具有高级工程师或以上职称。</w:t>
            </w:r>
          </w:p>
          <w:p>
            <w:pPr>
              <w:pStyle w:val="null3"/>
              <w:ind w:firstLine="480"/>
              <w:jc w:val="both"/>
            </w:pPr>
            <w:r>
              <w:rPr>
                <w:sz w:val="24"/>
              </w:rPr>
              <w:t>2、项目团队主要成员（不含项目负责人）应不少于6人，专业配置合理，职责清晰。</w:t>
            </w:r>
          </w:p>
          <w:p>
            <w:pPr>
              <w:pStyle w:val="null3"/>
              <w:ind w:firstLine="480"/>
              <w:jc w:val="both"/>
            </w:pPr>
            <w:r>
              <w:rPr>
                <w:sz w:val="24"/>
              </w:rPr>
              <w:t>为了确保项目的履约及成果质量，投标人可以在上述基础上提供资质更高、业绩更丰富的人员：项目负责人专业为交通相关专业，承担过同类项目业绩；项目团队主要成员专业涵盖城市（城乡）规划、交通规划、市政工程三个专业，具备交通相关专业中级（或高级或教授级（正）高级）工程师职称，具有相关工作经验。</w:t>
            </w:r>
          </w:p>
        </w:tc>
      </w:tr>
      <w:tr>
        <w:tc>
          <w:tcPr>
            <w:tcW w:type="dxa" w:w="2076"/>
          </w:tcPr>
          <w:p/>
        </w:tc>
        <w:tc>
          <w:tcPr>
            <w:tcW w:type="dxa" w:w="415"/>
          </w:tcPr>
          <w:p>
            <w:pPr>
              <w:pStyle w:val="null3"/>
            </w:pPr>
            <w:r>
              <w:rPr/>
              <w:t>9</w:t>
            </w:r>
          </w:p>
        </w:tc>
        <w:tc>
          <w:tcPr>
            <w:tcW w:type="dxa" w:w="5814"/>
          </w:tcPr>
          <w:p>
            <w:pPr>
              <w:pStyle w:val="null3"/>
              <w:ind w:firstLine="482"/>
              <w:jc w:val="both"/>
            </w:pPr>
            <w:r>
              <w:rPr>
                <w:sz w:val="24"/>
                <w:b/>
              </w:rPr>
              <w:t>九、其他要求</w:t>
            </w:r>
          </w:p>
          <w:p>
            <w:pPr>
              <w:pStyle w:val="null3"/>
              <w:ind w:firstLine="480"/>
              <w:jc w:val="both"/>
            </w:pPr>
            <w:r>
              <w:rPr>
                <w:sz w:val="24"/>
              </w:rPr>
              <w:t>1、本项目前期要求</w:t>
            </w:r>
          </w:p>
          <w:p>
            <w:pPr>
              <w:pStyle w:val="null3"/>
              <w:ind w:firstLine="480"/>
              <w:jc w:val="both"/>
            </w:pPr>
            <w:r>
              <w:rPr>
                <w:sz w:val="24"/>
              </w:rPr>
              <w:t>投标人需要充分理解和掌握项目背景、工作目标、工作任务、工作范围的项目涉及的政策规范等，并对此进行分析，明确本项目的工作目标，为保障项目的成果质量提供支持。</w:t>
            </w:r>
          </w:p>
          <w:p>
            <w:pPr>
              <w:pStyle w:val="null3"/>
              <w:ind w:firstLine="480"/>
              <w:jc w:val="both"/>
            </w:pPr>
            <w:r>
              <w:rPr>
                <w:sz w:val="24"/>
              </w:rPr>
              <w:t>投标人根据项目情况提供相关工作基础情况，包括但不限于：①城市及交通现状；②城市及交通规划；③土地收储及出让计划等现状情况。</w:t>
            </w:r>
          </w:p>
          <w:p>
            <w:pPr>
              <w:pStyle w:val="null3"/>
              <w:ind w:firstLine="480"/>
              <w:jc w:val="both"/>
            </w:pPr>
            <w:r>
              <w:rPr>
                <w:sz w:val="24"/>
              </w:rPr>
              <w:t>2、技术要求</w:t>
            </w:r>
          </w:p>
          <w:p>
            <w:pPr>
              <w:pStyle w:val="null3"/>
              <w:ind w:firstLine="480"/>
              <w:jc w:val="both"/>
            </w:pPr>
            <w:r>
              <w:rPr>
                <w:sz w:val="24"/>
              </w:rPr>
              <w:t>符合《中华人民共和国城乡规划法》等现行的国家和地方有关法律、法规以及相关规范的技术要求。</w:t>
            </w:r>
          </w:p>
          <w:p>
            <w:pPr>
              <w:pStyle w:val="null3"/>
              <w:ind w:firstLine="480"/>
              <w:jc w:val="both"/>
            </w:pPr>
            <w:r>
              <w:rPr>
                <w:sz w:val="24"/>
              </w:rPr>
              <w:t>3、项目重点、难点</w:t>
            </w:r>
          </w:p>
          <w:p>
            <w:pPr>
              <w:pStyle w:val="null3"/>
              <w:ind w:firstLine="480"/>
              <w:jc w:val="both"/>
            </w:pPr>
            <w:r>
              <w:rPr>
                <w:sz w:val="24"/>
              </w:rPr>
              <w:t>本项目为更好的服务城市建设和发展，促进国土空间规划相关重点交通项目在详规阶段的落实传导，加强轨道、道路等交通设施与城市规划、用地规划、产业布局的协调，保障规划轨道、道路项目用地空间，助力用地管控、规划审批工作，确保现状及在建轨道、道路项目运营安全，特开展《2025年市级重点交通项目前期研究及主骨架道路、轨道交通规划及维护》编制工作，投标人需就本项目的重点、难点问题进行分析，并明确工作思路及解决措施。</w:t>
            </w:r>
          </w:p>
          <w:p>
            <w:pPr>
              <w:pStyle w:val="null3"/>
              <w:ind w:firstLine="480"/>
              <w:jc w:val="both"/>
            </w:pPr>
            <w:r>
              <w:rPr>
                <w:sz w:val="24"/>
              </w:rPr>
              <w:t>4、工作时间计划和质量保障措施</w:t>
            </w:r>
          </w:p>
          <w:p>
            <w:pPr>
              <w:pStyle w:val="null3"/>
              <w:ind w:firstLine="480"/>
              <w:jc w:val="both"/>
            </w:pPr>
            <w:r>
              <w:rPr>
                <w:sz w:val="24"/>
              </w:rPr>
              <w:t>（1）工期计划：包括前期工作阶段、初步成果阶段、中期成果阶段和最终成果阶段。（注：上述各阶段工作时间具体以实际开展情况为准）。</w:t>
            </w:r>
          </w:p>
          <w:p>
            <w:pPr>
              <w:pStyle w:val="null3"/>
              <w:ind w:firstLine="480"/>
              <w:jc w:val="both"/>
            </w:pPr>
            <w:r>
              <w:rPr>
                <w:sz w:val="24"/>
              </w:rPr>
              <w:t>（2）质量保障措施：</w:t>
            </w:r>
          </w:p>
          <w:p>
            <w:pPr>
              <w:pStyle w:val="null3"/>
              <w:ind w:firstLine="480"/>
              <w:jc w:val="both"/>
            </w:pPr>
            <w:r>
              <w:rPr>
                <w:sz w:val="24"/>
              </w:rPr>
              <w:t>投标人需具备较为完善的质量管理制度为本项目的质量和履约提供制度保障，以保证项目质量和服务目标。针对本项目整体工作，需有明确的数据质量管理目标，需提供可行的质量管理方案，建立完整的质量保证体系，形成对应的质量保证机制，并提出具体的质量保证措施，确保项目成果达到相关技术标准要求。明确项目团队人员的职责，遵守法律法规。</w:t>
            </w:r>
          </w:p>
          <w:p>
            <w:pPr>
              <w:pStyle w:val="null3"/>
              <w:ind w:firstLine="480"/>
              <w:jc w:val="both"/>
            </w:pPr>
            <w:r>
              <w:rPr>
                <w:sz w:val="24"/>
              </w:rPr>
              <w:t>制定对规划长期跟踪研究的服务方案，及时发现规划实施过程中出现的问题，反馈并提出调整建议，对规划项目进行必要优化，为规划的优化和完善提供专业的技术支持和建议。</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广州市规划和自然资源局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城维计划-综合交通规划编制经费（子项10：2025年市级重点交通项目前期研究及主骨架道路、轨道规划及维护）)：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采购包1（城维计划-综合交通规划编制经费（子项10：2025年市级重点交通项目前期研究及主骨架道路、轨道规划及维护））：</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采购包1（城维计划-综合交通规划编制经费（子项10：2025年市级重点交通项目前期研究及主骨架道路、轨道规划及维护））：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本项目接受联合体投标。</w:t>
            </w:r>
          </w:p>
        </w:tc>
        <w:tc>
          <w:tcPr>
            <w:tcW w:type="dxa" w:w="4238"/>
          </w:tcPr>
          <w:p>
            <w:pPr>
              <w:pStyle w:val="null3"/>
            </w:pPr>
            <w:r>
              <w:rPr/>
              <w:t>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tc>
      </w:tr>
    </w:tbl>
    <w:p>
      <w:pPr>
        <w:pStyle w:val="null3"/>
        <w:ind w:firstLine="480"/>
      </w:pPr>
      <w:r>
        <w:rPr/>
        <w:t>表二符合性审查表：</w:t>
      </w:r>
    </w:p>
    <w:p>
      <w:pPr>
        <w:pStyle w:val="null3"/>
      </w:pPr>
      <w:r>
        <w:rPr/>
        <w:t>采购包1（城维计划-综合交通规划编制经费（子项10：2025年市级重点交通项目前期研究及主骨架道路、轨道规划及维护））：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采购包1(城维计划-综合交通规划编制经费（子项10：2025年市级重点交通项目前期研究及主骨架道路、轨道规划及维护）):</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对项目的熟悉程度A (2.0分)</w:t>
            </w:r>
          </w:p>
        </w:tc>
        <w:tc>
          <w:tcPr>
            <w:tcW w:type="dxa" w:w="5076"/>
          </w:tcPr>
          <w:p>
            <w:pPr>
              <w:pStyle w:val="null3"/>
              <w:jc w:val="left"/>
            </w:pPr>
            <w:r>
              <w:rPr/>
              <w:t>根据采购需求中的项目背景，投标人提供对本项目理解情况，内容包括但不限于：①项目背景；②工作目标；③工作任务；④任务深度。能提供以上内容的，得2分；如未提供或提供不完整，则本项及“对项目的熟悉程度B”均不得分。</w:t>
            </w:r>
          </w:p>
        </w:tc>
      </w:tr>
      <w:tr>
        <w:tc>
          <w:tcPr>
            <w:tcW w:type="dxa" w:w="922"/>
            <w:gridSpan w:val="2"/>
            <w:vMerge/>
          </w:tcPr>
          <w:p/>
        </w:tc>
        <w:tc>
          <w:tcPr>
            <w:tcW w:type="dxa" w:w="2307"/>
          </w:tcPr>
          <w:p>
            <w:pPr>
              <w:pStyle w:val="null3"/>
              <w:jc w:val="left"/>
            </w:pPr>
            <w:r>
              <w:rPr/>
              <w:t>对项目的熟悉程度B (4.0分)</w:t>
            </w:r>
            <w:r>
              <w:rPr/>
              <w:t>，（等次分值选择：</w:t>
            </w:r>
            <w:r>
              <w:rPr/>
              <w:t>0.0;</w:t>
            </w:r>
            <w:r>
              <w:rPr/>
              <w:t>1.0;</w:t>
            </w:r>
            <w:r>
              <w:rPr/>
              <w:t>2.0;</w:t>
            </w:r>
            <w:r>
              <w:rPr/>
              <w:t>4.0;</w:t>
            </w:r>
            <w:r>
              <w:rPr/>
              <w:t>）</w:t>
            </w:r>
          </w:p>
        </w:tc>
        <w:tc>
          <w:tcPr>
            <w:tcW w:type="dxa" w:w="5076"/>
          </w:tcPr>
          <w:p>
            <w:pPr>
              <w:pStyle w:val="null3"/>
              <w:jc w:val="left"/>
            </w:pPr>
            <w:r>
              <w:rPr/>
              <w:t>在符合“对项目的熟悉程度A”的基础上，对投标人提供的对项目的熟悉程度进行详细评审： 1.投标人充分理解和掌握项目背景、工作目标、工作任务、任务深度等内容，内容要点突出，特色鲜明的，完全满足且优于采购需求，得4分； 2.投标人能理解和掌握项目背景、工作目标、工作任务、任务深度等内容，内容比较突出的，满足采购需求，得2分； 3.投标人部分或不完全理解和掌握项目背景、工作目标、工作任务、任务深度等内容，部分满足采购需求，得1分； 4.其它或没有提供方案，得0分。</w:t>
            </w:r>
          </w:p>
        </w:tc>
      </w:tr>
      <w:tr>
        <w:tc>
          <w:tcPr>
            <w:tcW w:type="dxa" w:w="922"/>
            <w:gridSpan w:val="2"/>
            <w:vMerge/>
          </w:tcPr>
          <w:p/>
        </w:tc>
        <w:tc>
          <w:tcPr>
            <w:tcW w:type="dxa" w:w="2307"/>
          </w:tcPr>
          <w:p>
            <w:pPr>
              <w:pStyle w:val="null3"/>
              <w:jc w:val="left"/>
            </w:pPr>
            <w:r>
              <w:rPr/>
              <w:t>对项目现状及规划情况的掌握理解A (3.0分)</w:t>
            </w:r>
          </w:p>
        </w:tc>
        <w:tc>
          <w:tcPr>
            <w:tcW w:type="dxa" w:w="5076"/>
          </w:tcPr>
          <w:p>
            <w:pPr>
              <w:pStyle w:val="null3"/>
              <w:jc w:val="left"/>
            </w:pPr>
            <w:r>
              <w:rPr/>
              <w:t>根据采购需求中的工作范围及内容，投标人提供对项目现状情况的理解，内容包括但不限于：①城市及交通现状；②城市及交通规划；③土地收储及出让计划。能提供以上内容的，得3分；如未提供或提供不完整，则本项及“对项目现状及规划情况的掌握理解B”均不得分。</w:t>
            </w:r>
          </w:p>
        </w:tc>
      </w:tr>
      <w:tr>
        <w:tc>
          <w:tcPr>
            <w:tcW w:type="dxa" w:w="922"/>
            <w:gridSpan w:val="2"/>
            <w:vMerge/>
          </w:tcPr>
          <w:p/>
        </w:tc>
        <w:tc>
          <w:tcPr>
            <w:tcW w:type="dxa" w:w="2307"/>
          </w:tcPr>
          <w:p>
            <w:pPr>
              <w:pStyle w:val="null3"/>
              <w:jc w:val="left"/>
            </w:pPr>
            <w:r>
              <w:rPr/>
              <w:t>对项目现状及规划情况的掌握理解B (5.0分)</w:t>
            </w:r>
            <w:r>
              <w:rPr/>
              <w:t>，（等次分值选择：</w:t>
            </w:r>
            <w:r>
              <w:rPr/>
              <w:t>0.0;</w:t>
            </w:r>
            <w:r>
              <w:rPr/>
              <w:t>1.0;</w:t>
            </w:r>
            <w:r>
              <w:rPr/>
              <w:t>3.0;</w:t>
            </w:r>
            <w:r>
              <w:rPr/>
              <w:t>5.0;</w:t>
            </w:r>
            <w:r>
              <w:rPr/>
              <w:t>）</w:t>
            </w:r>
          </w:p>
        </w:tc>
        <w:tc>
          <w:tcPr>
            <w:tcW w:type="dxa" w:w="5076"/>
          </w:tcPr>
          <w:p>
            <w:pPr>
              <w:pStyle w:val="null3"/>
              <w:jc w:val="left"/>
            </w:pPr>
            <w:r>
              <w:rPr/>
              <w:t>在符合“对项目现状及规划情况的掌握理解A”的基础上，对投标人提供的对项目现状及规划情况的掌握及任务理解进行详细评审： 1.投标人充分掌握项目现状及规划情况，对城市及交通现状情况，城市及交通规划和土地收储及出让计划内容分析详细、准确，数据详实的，完全满足且优于采购需求，得5分； 2.投标人掌握项目现状及规划情况，对城市及交通现状情况，城市及交通规划和土地收储及出让计划内容分析较为准确，满足采购需求，得3分； 3.投标人掌握部分项目现状及规划情况，对城市及交通现状情况，城市及交通规划和土地收储及出让计划内容分析部分准确或不太清晰的，部分满足采购需求，得1分； 4.其它或没有提供方案，得0分。</w:t>
            </w:r>
          </w:p>
        </w:tc>
      </w:tr>
      <w:tr>
        <w:tc>
          <w:tcPr>
            <w:tcW w:type="dxa" w:w="922"/>
            <w:gridSpan w:val="2"/>
            <w:vMerge/>
          </w:tcPr>
          <w:p/>
        </w:tc>
        <w:tc>
          <w:tcPr>
            <w:tcW w:type="dxa" w:w="2307"/>
          </w:tcPr>
          <w:p>
            <w:pPr>
              <w:pStyle w:val="null3"/>
              <w:jc w:val="left"/>
            </w:pPr>
            <w:r>
              <w:rPr/>
              <w:t>项目技术路线和工作思路A (2.0分)</w:t>
            </w:r>
          </w:p>
        </w:tc>
        <w:tc>
          <w:tcPr>
            <w:tcW w:type="dxa" w:w="5076"/>
          </w:tcPr>
          <w:p>
            <w:pPr>
              <w:pStyle w:val="null3"/>
              <w:jc w:val="left"/>
            </w:pPr>
            <w:r>
              <w:rPr/>
              <w:t>根据采购需求中的编制原则及编制内容，投标人提供的项目技术路线和工作思路，内容包括但不限于：①工作思路；②技术路线；③技术手段；④工作分工。能提供以上内容的，得2分；如未提供或提供不完整，则本项及“项目技术路线和工作思路B”均不得分。</w:t>
            </w:r>
          </w:p>
        </w:tc>
      </w:tr>
      <w:tr>
        <w:tc>
          <w:tcPr>
            <w:tcW w:type="dxa" w:w="922"/>
            <w:gridSpan w:val="2"/>
            <w:vMerge/>
          </w:tcPr>
          <w:p/>
        </w:tc>
        <w:tc>
          <w:tcPr>
            <w:tcW w:type="dxa" w:w="2307"/>
          </w:tcPr>
          <w:p>
            <w:pPr>
              <w:pStyle w:val="null3"/>
              <w:jc w:val="left"/>
            </w:pPr>
            <w:r>
              <w:rPr/>
              <w:t>项目技术路线和工作思路B (4.0分)</w:t>
            </w:r>
            <w:r>
              <w:rPr/>
              <w:t>，（等次分值选择：</w:t>
            </w:r>
            <w:r>
              <w:rPr/>
              <w:t>0.0;</w:t>
            </w:r>
            <w:r>
              <w:rPr/>
              <w:t>1.0;</w:t>
            </w:r>
            <w:r>
              <w:rPr/>
              <w:t>2.0;</w:t>
            </w:r>
            <w:r>
              <w:rPr/>
              <w:t>4.0;</w:t>
            </w:r>
            <w:r>
              <w:rPr/>
              <w:t>）</w:t>
            </w:r>
          </w:p>
        </w:tc>
        <w:tc>
          <w:tcPr>
            <w:tcW w:type="dxa" w:w="5076"/>
          </w:tcPr>
          <w:p>
            <w:pPr>
              <w:pStyle w:val="null3"/>
              <w:jc w:val="left"/>
            </w:pPr>
            <w:r>
              <w:rPr/>
              <w:t>在符合“项目技术路线和工作思路A”的基础上，对投标人提供的项目技术路线和工作思路进行详细评审： 1.项目技术路线和工作思路详细完整且重点突出，准备采取的技术手段明确，能提供具体步骤及解决关键性问题的方法，工作分工明确，完全满足且优于采购需求，得4分； 2.项目技术路线和工作思路基本完整，准备采取的技术手段基本明确，能提供相关的步骤及解决关键性问题的方法，工作分工基本明确，满足采购需求，得2分； 3.项目技术路线和工作思路不够完整、内容简单，准备采取的技术手段不明确，能提供简单的步骤，有工作分工，部分满足采购需求，得1分； 4.其它或没有提供方案，得0分。</w:t>
            </w:r>
          </w:p>
        </w:tc>
      </w:tr>
      <w:tr>
        <w:tc>
          <w:tcPr>
            <w:tcW w:type="dxa" w:w="922"/>
            <w:gridSpan w:val="2"/>
            <w:vMerge/>
          </w:tcPr>
          <w:p/>
        </w:tc>
        <w:tc>
          <w:tcPr>
            <w:tcW w:type="dxa" w:w="2307"/>
          </w:tcPr>
          <w:p>
            <w:pPr>
              <w:pStyle w:val="null3"/>
              <w:jc w:val="left"/>
            </w:pPr>
            <w:r>
              <w:rPr/>
              <w:t>对项目重点、难点的理解和分析A (4.0分)</w:t>
            </w:r>
          </w:p>
        </w:tc>
        <w:tc>
          <w:tcPr>
            <w:tcW w:type="dxa" w:w="5076"/>
          </w:tcPr>
          <w:p>
            <w:pPr>
              <w:pStyle w:val="null3"/>
              <w:jc w:val="left"/>
            </w:pPr>
            <w:r>
              <w:rPr/>
              <w:t>投标人根据本项目的需求内容进行重点、难点问题分析与工作思路阐述方案进行评审，方案需包含①项目重难点问题的分析、②如何应对重难点的工作思路。能提供以上内容的，得4分；如未提供或提供不完整，则本项及“对项目重点、难点的理解和分析B”均不得分。</w:t>
            </w:r>
          </w:p>
        </w:tc>
      </w:tr>
      <w:tr>
        <w:tc>
          <w:tcPr>
            <w:tcW w:type="dxa" w:w="922"/>
            <w:gridSpan w:val="2"/>
            <w:vMerge/>
          </w:tcPr>
          <w:p/>
        </w:tc>
        <w:tc>
          <w:tcPr>
            <w:tcW w:type="dxa" w:w="2307"/>
          </w:tcPr>
          <w:p>
            <w:pPr>
              <w:pStyle w:val="null3"/>
              <w:jc w:val="left"/>
            </w:pPr>
            <w:r>
              <w:rPr/>
              <w:t>对项目重点、难点的理解和分析B (9.0分)</w:t>
            </w:r>
            <w:r>
              <w:rPr/>
              <w:t>，（等次分值选择：</w:t>
            </w:r>
            <w:r>
              <w:rPr/>
              <w:t>0.0;</w:t>
            </w:r>
            <w:r>
              <w:rPr/>
              <w:t>3.0;</w:t>
            </w:r>
            <w:r>
              <w:rPr/>
              <w:t>6.0;</w:t>
            </w:r>
            <w:r>
              <w:rPr/>
              <w:t>9.0;</w:t>
            </w:r>
            <w:r>
              <w:rPr/>
              <w:t>）</w:t>
            </w:r>
          </w:p>
        </w:tc>
        <w:tc>
          <w:tcPr>
            <w:tcW w:type="dxa" w:w="5076"/>
          </w:tcPr>
          <w:p>
            <w:pPr>
              <w:pStyle w:val="null3"/>
              <w:jc w:val="left"/>
            </w:pPr>
            <w:r>
              <w:rPr/>
              <w:t>在符合“对项目重点、难点的理解和分析A”的基础上，对投标人提供的对项目重点、难点的理解和分析进行详细评审： 1.重难点分析合理，应对思路清晰合理，贴合项目情况的，得9分； 2.重难点分析较合理，应对思路较清晰合理，较贴合项目情况的，得6分； 3.重难点分析与项目存在偏差，应对思路不合理，不贴合项目情况的，得3分； 4.无提供或其他不得分。</w:t>
            </w:r>
          </w:p>
        </w:tc>
      </w:tr>
      <w:tr>
        <w:tc>
          <w:tcPr>
            <w:tcW w:type="dxa" w:w="922"/>
            <w:gridSpan w:val="2"/>
            <w:vMerge/>
          </w:tcPr>
          <w:p/>
        </w:tc>
        <w:tc>
          <w:tcPr>
            <w:tcW w:type="dxa" w:w="2307"/>
          </w:tcPr>
          <w:p>
            <w:pPr>
              <w:pStyle w:val="null3"/>
              <w:jc w:val="left"/>
            </w:pPr>
            <w:r>
              <w:rPr/>
              <w:t>工作方案A (4.0分)</w:t>
            </w:r>
          </w:p>
        </w:tc>
        <w:tc>
          <w:tcPr>
            <w:tcW w:type="dxa" w:w="5076"/>
          </w:tcPr>
          <w:p>
            <w:pPr>
              <w:pStyle w:val="null3"/>
              <w:jc w:val="left"/>
            </w:pPr>
            <w:r>
              <w:rPr/>
              <w:t>根据采购需求中的编制内容要求，投标人提供工作方案，内容包括但不限于：①主骨架路网与重点地块协调分析及处理思路；②轨道交通与重点地块协调分析及处理思路；③山海碧带骑行道贯通方案；④重要换乘与立交节点方案等内容。能提供以上内容的，得4分；如未提供或提供不完整，则本项及“工作方案B”均不得分。</w:t>
            </w:r>
          </w:p>
        </w:tc>
      </w:tr>
      <w:tr>
        <w:tc>
          <w:tcPr>
            <w:tcW w:type="dxa" w:w="922"/>
            <w:gridSpan w:val="2"/>
            <w:vMerge/>
          </w:tcPr>
          <w:p/>
        </w:tc>
        <w:tc>
          <w:tcPr>
            <w:tcW w:type="dxa" w:w="2307"/>
          </w:tcPr>
          <w:p>
            <w:pPr>
              <w:pStyle w:val="null3"/>
              <w:jc w:val="left"/>
            </w:pPr>
            <w:r>
              <w:rPr/>
              <w:t>工作方案B (8.0分)</w:t>
            </w:r>
            <w:r>
              <w:rPr/>
              <w:t>，（等次分值选择：</w:t>
            </w:r>
            <w:r>
              <w:rPr/>
              <w:t>0.0;</w:t>
            </w:r>
            <w:r>
              <w:rPr/>
              <w:t>2.0;</w:t>
            </w:r>
            <w:r>
              <w:rPr/>
              <w:t>5.0;</w:t>
            </w:r>
            <w:r>
              <w:rPr/>
              <w:t>8.0;</w:t>
            </w:r>
            <w:r>
              <w:rPr/>
              <w:t>）</w:t>
            </w:r>
          </w:p>
        </w:tc>
        <w:tc>
          <w:tcPr>
            <w:tcW w:type="dxa" w:w="5076"/>
          </w:tcPr>
          <w:p>
            <w:pPr>
              <w:pStyle w:val="null3"/>
              <w:jc w:val="left"/>
            </w:pPr>
            <w:r>
              <w:rPr/>
              <w:t>在符合“工作方案A”的基础上，对投标人提供的工作方案进行详细评审： 1.工作方案能体现采购需求的目标、全部工作要求和内容，研究思路清晰，方案科学合理，具有较强的可实施性，完全满足且优于采购需求，得8分； 2.工作方案基本能体现采购需求的目标和原则，研究思路合理可行，方案较为准确，满足采购需求，得5分； 3.工作方案能部分体现采购需求的目标和原则，研究思路基本合理，方案简单的，部分满足采购需求，得2分； 4.其它或没有提供方案，得0分。</w:t>
            </w:r>
          </w:p>
        </w:tc>
      </w:tr>
      <w:tr>
        <w:tc>
          <w:tcPr>
            <w:tcW w:type="dxa" w:w="922"/>
            <w:gridSpan w:val="2"/>
            <w:vMerge/>
          </w:tcPr>
          <w:p/>
        </w:tc>
        <w:tc>
          <w:tcPr>
            <w:tcW w:type="dxa" w:w="2307"/>
          </w:tcPr>
          <w:p>
            <w:pPr>
              <w:pStyle w:val="null3"/>
              <w:jc w:val="left"/>
            </w:pPr>
            <w:r>
              <w:rPr/>
              <w:t>工作时间计划和质量保障措施A (2.0分)</w:t>
            </w:r>
          </w:p>
        </w:tc>
        <w:tc>
          <w:tcPr>
            <w:tcW w:type="dxa" w:w="5076"/>
          </w:tcPr>
          <w:p>
            <w:pPr>
              <w:pStyle w:val="null3"/>
              <w:jc w:val="left"/>
            </w:pPr>
            <w:r>
              <w:rPr/>
              <w:t>根据采购需求中的工作时间计划、成果提交要求和规划成果的报送和审查要求，投标人提供的工作时间计划和质量保障措施，内容包括但不限于：①进度计划；②质量和技术保障措施。能提供以上内容的，得2分；如未提供或提供不完整，则本项及“工作时间计划和质量保障措施B”均不得分。</w:t>
            </w:r>
          </w:p>
        </w:tc>
      </w:tr>
      <w:tr>
        <w:tc>
          <w:tcPr>
            <w:tcW w:type="dxa" w:w="922"/>
            <w:gridSpan w:val="2"/>
            <w:vMerge/>
          </w:tcPr>
          <w:p/>
        </w:tc>
        <w:tc>
          <w:tcPr>
            <w:tcW w:type="dxa" w:w="2307"/>
          </w:tcPr>
          <w:p>
            <w:pPr>
              <w:pStyle w:val="null3"/>
              <w:jc w:val="left"/>
            </w:pPr>
            <w:r>
              <w:rPr/>
              <w:t>工作时间计划和质量保障措施 B (3.0分)</w:t>
            </w:r>
            <w:r>
              <w:rPr/>
              <w:t>，（等次分值选择：</w:t>
            </w:r>
            <w:r>
              <w:rPr/>
              <w:t>0.0;</w:t>
            </w:r>
            <w:r>
              <w:rPr/>
              <w:t>1.0;</w:t>
            </w:r>
            <w:r>
              <w:rPr/>
              <w:t>2.0;</w:t>
            </w:r>
            <w:r>
              <w:rPr/>
              <w:t>3.0;</w:t>
            </w:r>
            <w:r>
              <w:rPr/>
              <w:t>）</w:t>
            </w:r>
          </w:p>
        </w:tc>
        <w:tc>
          <w:tcPr>
            <w:tcW w:type="dxa" w:w="5076"/>
          </w:tcPr>
          <w:p>
            <w:pPr>
              <w:pStyle w:val="null3"/>
              <w:jc w:val="left"/>
            </w:pPr>
            <w:r>
              <w:rPr/>
              <w:t>在符合“工作时间计划和质量保障措施A”的基础上，对投标人提供的工作时间计划和质量保障措施进行详细评审： 1.投标人能提供详细明确的项目工作时间安排，有设定明确的实施计划流程，每个工作节点衔接顺畅，质量保障措施和保密措施完整，目标明确，能提供详细的质量和保密控制过程所使用的方法、风险预防和应对措施，完全满足且优于采购需求，得3分； 2.投标人制定项目工作时间安排、实施计划流程和工作计划简单，质量保障措施和保密措施基本完整，目标基本明确，能提供简单的质量和保密控制过程所使用的方法、风险预防和应对措施，满足采购需求，得2分； 3.投标人制定项目工作时间安排、实施计划流程和工作计划有缺漏，质量保障措施和保密措施简单，能提供简单的质量和保密控制过程所使用的方法，部分满足采购需求，得1分； 4.其它或没有提供方案，得0分。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自2019年1月1日至今同类项目业绩 (8.0分)</w:t>
            </w:r>
          </w:p>
        </w:tc>
        <w:tc>
          <w:tcPr>
            <w:tcW w:type="dxa" w:w="5076"/>
          </w:tcPr>
          <w:p>
            <w:pPr>
              <w:pStyle w:val="null3"/>
              <w:jc w:val="left"/>
            </w:pPr>
            <w:r>
              <w:rPr/>
              <w:t>投标人2019年1月1日（以合同签订时间为准）至今，承接过同类项目业绩： 1、承接过道路网络规划项目，每提供一项得1分，本小项最高得3分； 2、承接过轨道交通线网规划项目或线网优化项目，每提供一项得1分，本小项最高得3分； 3、承接过骨架路网动态维护或轨道交通动态维护项目，每提供一项得1分，本小项最高得2分。 注： 需提供合同关键页（含签订合同双方的单位名称、合同项目名称与含签订合同双方的落款盖章、签订日期的关键页）扫描件，否则无效。</w:t>
            </w:r>
          </w:p>
        </w:tc>
      </w:tr>
      <w:tr>
        <w:tc>
          <w:tcPr>
            <w:tcW w:type="dxa" w:w="922"/>
            <w:gridSpan w:val="2"/>
            <w:vMerge/>
          </w:tcPr>
          <w:p/>
        </w:tc>
        <w:tc>
          <w:tcPr>
            <w:tcW w:type="dxa" w:w="2307"/>
          </w:tcPr>
          <w:p>
            <w:pPr>
              <w:pStyle w:val="null3"/>
              <w:jc w:val="left"/>
            </w:pPr>
            <w:r>
              <w:rPr/>
              <w:t>项目负责人情况 (12.0分)</w:t>
            </w:r>
          </w:p>
        </w:tc>
        <w:tc>
          <w:tcPr>
            <w:tcW w:type="dxa" w:w="5076"/>
          </w:tcPr>
          <w:p>
            <w:pPr>
              <w:pStyle w:val="null3"/>
              <w:jc w:val="left"/>
            </w:pPr>
            <w:r>
              <w:rPr/>
              <w:t>拟派本项目负责人情况： 项目负责人具有高级工程师职称的得2分，具有教授级（正）高级工程师的得4分，本小项最高得4分。在此基础上： 1.项目负责人专业为交通相关专业，加2分； 2.项目负责人承担过同类项目业绩的，每提供1个业绩证明资料加2分，本小项最高得6分。 注： （1）专业以毕业证或学位证或职称证为准。 （2）业绩证明材料以项目成果扉页或合同复印件的人员信息为准。 （3）需提供投标截止时间前6个月内任意1个月在本单位缴纳的社保证明复印件（证明材料必须由社保局盖章（含电子章）方有效）或劳动合同及职称证书复印件或网页查询截图（显示查询链接）。</w:t>
            </w:r>
          </w:p>
        </w:tc>
      </w:tr>
      <w:tr>
        <w:tc>
          <w:tcPr>
            <w:tcW w:type="dxa" w:w="922"/>
            <w:gridSpan w:val="2"/>
            <w:vMerge/>
          </w:tcPr>
          <w:p/>
        </w:tc>
        <w:tc>
          <w:tcPr>
            <w:tcW w:type="dxa" w:w="2307"/>
          </w:tcPr>
          <w:p>
            <w:pPr>
              <w:pStyle w:val="null3"/>
              <w:jc w:val="left"/>
            </w:pPr>
            <w:r>
              <w:rPr/>
              <w:t>团队成员配备 (15.0分)</w:t>
            </w:r>
          </w:p>
        </w:tc>
        <w:tc>
          <w:tcPr>
            <w:tcW w:type="dxa" w:w="5076"/>
          </w:tcPr>
          <w:p>
            <w:pPr>
              <w:pStyle w:val="null3"/>
              <w:jc w:val="left"/>
            </w:pPr>
            <w:r>
              <w:rPr/>
              <w:t>项目成员满足《第二章 采购需求》的“项目团队主要成员（不含项目负责人）应不少于6人。”，得2分，在此基础上： 1.项目团队人员（不含项目负责人）专业为交通相关专业且具备中级工程师职称的，每提供1个加0.5分；专业为交通相关专业且具备高级工程师职称的，每提供1个加1分；专业为交通相关专业且具备教授级（正）高级工程师职称的，每提供一个加2分，本项最高加6分。 2.项目团队人员（不含项目负责人）专业涵盖城市（城乡）规划、交通规划、市政工程三个专业的，加4分，缺失任一专业不加分。 3.项目团队人员（不含项目负责人）承担过同类项目业绩的，每人加1分，本项最高加3分。 本项最高得15分。 注： （1）专业以毕业证或学位证或职称证为准； （2）业绩证明材料以项目成果扉页或合同复印件的人员信息为准； （3）需提供投标截止时间前6个月内任意1个月在本单位缴纳的社保证明复印件（证明材料必须由社保局盖章（含电子章）方有效）或劳动合同及职称证书复印件或网页查询截图（显示查询链接）。</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firstLine="480"/>
        <w:jc w:val="both"/>
      </w:pPr>
      <w:r>
        <w:rPr>
          <w:sz w:val="24"/>
        </w:rPr>
        <w:t>合同编号：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72"/>
          <w:b/>
        </w:rPr>
        <w:t>技 术 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80"/>
        <w:jc w:val="center"/>
      </w:pPr>
      <w:r>
        <w:rPr>
          <w:sz w:val="27"/>
        </w:rPr>
        <w:t>项目名称：</w:t>
      </w:r>
      <w:r>
        <w:rPr>
          <w:sz w:val="27"/>
          <w:u w:val="single"/>
        </w:rPr>
        <w:t>城维计划-综合交通规划编制经费（子项10：2025年市级重点交通项目前期研究及主骨架道路、轨道规划及维护）</w:t>
      </w:r>
    </w:p>
    <w:p>
      <w:pPr>
        <w:pStyle w:val="null3"/>
        <w:ind w:firstLine="480"/>
        <w:jc w:val="both"/>
      </w:pPr>
      <w:r>
        <w:rPr/>
        <w:t xml:space="preserve"> </w:t>
      </w:r>
    </w:p>
    <w:p>
      <w:pPr>
        <w:pStyle w:val="null3"/>
        <w:ind w:firstLine="480"/>
        <w:jc w:val="both"/>
      </w:pPr>
      <w:r>
        <w:rPr>
          <w:sz w:val="27"/>
        </w:rPr>
        <w:t>委托方（甲方）：</w:t>
      </w:r>
      <w:r>
        <w:rPr>
          <w:sz w:val="27"/>
          <w:u w:val="single"/>
        </w:rPr>
        <w:t>广州市规划和自然资源局</w:t>
      </w:r>
    </w:p>
    <w:p>
      <w:pPr>
        <w:pStyle w:val="null3"/>
        <w:ind w:firstLine="480"/>
        <w:jc w:val="both"/>
      </w:pPr>
      <w:r>
        <w:rPr/>
        <w:t xml:space="preserve"> </w:t>
      </w:r>
    </w:p>
    <w:p>
      <w:pPr>
        <w:pStyle w:val="null3"/>
        <w:ind w:firstLine="480"/>
        <w:jc w:val="both"/>
      </w:pPr>
      <w:r>
        <w:rPr>
          <w:sz w:val="27"/>
        </w:rPr>
        <w:t>受托方（乙方）：__________________________</w:t>
      </w:r>
    </w:p>
    <w:p>
      <w:pPr>
        <w:pStyle w:val="null3"/>
        <w:ind w:firstLine="480"/>
        <w:jc w:val="both"/>
      </w:pPr>
      <w:r>
        <w:rPr/>
        <w:t xml:space="preserve"> </w:t>
      </w:r>
    </w:p>
    <w:p>
      <w:pPr>
        <w:pStyle w:val="null3"/>
        <w:ind w:firstLine="480"/>
        <w:jc w:val="both"/>
      </w:pPr>
      <w:r>
        <w:rPr>
          <w:sz w:val="27"/>
        </w:rPr>
        <w:t>签订时间：_________________________________</w:t>
      </w:r>
    </w:p>
    <w:p>
      <w:pPr>
        <w:pStyle w:val="null3"/>
        <w:ind w:firstLine="480"/>
        <w:jc w:val="both"/>
      </w:pPr>
      <w:r>
        <w:rPr/>
        <w:t xml:space="preserve"> </w:t>
      </w:r>
    </w:p>
    <w:p>
      <w:pPr>
        <w:pStyle w:val="null3"/>
        <w:ind w:firstLine="480"/>
        <w:jc w:val="both"/>
      </w:pPr>
      <w:r>
        <w:rPr>
          <w:sz w:val="27"/>
        </w:rPr>
        <w:t>签订地点：_________________________________</w:t>
      </w:r>
    </w:p>
    <w:p>
      <w:pPr>
        <w:pStyle w:val="null3"/>
        <w:ind w:firstLine="480"/>
        <w:jc w:val="both"/>
      </w:pPr>
      <w:r>
        <w:rPr/>
        <w:t xml:space="preserve"> </w:t>
      </w:r>
    </w:p>
    <w:p>
      <w:pPr>
        <w:pStyle w:val="null3"/>
        <w:ind w:firstLine="480"/>
        <w:jc w:val="both"/>
      </w:pPr>
      <w:r>
        <w:rPr>
          <w:sz w:val="27"/>
        </w:rPr>
        <w:t>有效期限：_________________________________</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2"/>
        <w:jc w:val="center"/>
      </w:pPr>
      <w:r>
        <w:rPr>
          <w:sz w:val="27"/>
          <w:b/>
        </w:rPr>
        <w:t>中华人民共和国科学技术部印制</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jc w:val="left"/>
      </w:pPr>
      <w:r>
        <w:rPr>
          <w:sz w:val="30"/>
          <w:b/>
        </w:rPr>
        <w:t>填写说明</w:t>
      </w:r>
    </w:p>
    <w:p>
      <w:pPr>
        <w:pStyle w:val="null3"/>
        <w:ind w:firstLine="480"/>
        <w:jc w:val="center"/>
      </w:pPr>
      <w:r>
        <w:rPr>
          <w:sz w:val="24"/>
        </w:rPr>
        <w:t>一、本合同为中华人民共和国科学技术部印制的技术服务合同示范文本，各技术合同认定登记机构可推介技术合同当事人参照使用。</w:t>
      </w:r>
    </w:p>
    <w:p>
      <w:pPr>
        <w:pStyle w:val="null3"/>
        <w:ind w:firstLine="480"/>
        <w:jc w:val="both"/>
      </w:pPr>
      <w:r>
        <w:rPr>
          <w:sz w:val="24"/>
        </w:rPr>
        <w:t>二、本合同书适用于一方当事人（受托方）以技术知识为另一方（委托方）解决特定技术问题所订立的合同。</w:t>
      </w:r>
    </w:p>
    <w:p>
      <w:pPr>
        <w:pStyle w:val="null3"/>
        <w:ind w:firstLine="480"/>
        <w:jc w:val="both"/>
      </w:pPr>
      <w:r>
        <w:rPr>
          <w:sz w:val="24"/>
        </w:rPr>
        <w:t>三、签约一方为多个当事人的，可按各自在合同关系中的作用等，在“委托方”、“受托方”项下（增页）分别排列为共同委托人或共同受托人。</w:t>
      </w:r>
    </w:p>
    <w:p>
      <w:pPr>
        <w:pStyle w:val="null3"/>
        <w:ind w:firstLine="480"/>
        <w:jc w:val="both"/>
      </w:pPr>
      <w:r>
        <w:rPr>
          <w:sz w:val="24"/>
        </w:rPr>
        <w:t>四、本合同书未尽事项，可由当事人附页另行约定，并作为本合同的组成部分。</w:t>
      </w:r>
    </w:p>
    <w:p>
      <w:pPr>
        <w:pStyle w:val="null3"/>
        <w:ind w:firstLine="480"/>
        <w:jc w:val="both"/>
      </w:pPr>
      <w:r>
        <w:rPr>
          <w:sz w:val="24"/>
        </w:rPr>
        <w:t>五、当事人使用本合同书时约定无需填写的条款，应在该条款处注明“无”等字样。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643"/>
        <w:jc w:val="center"/>
      </w:pPr>
      <w:r>
        <w:rPr>
          <w:sz w:val="30"/>
          <w:b/>
        </w:rPr>
        <w:t>技术服务合同</w:t>
      </w:r>
    </w:p>
    <w:p>
      <w:pPr>
        <w:pStyle w:val="null3"/>
        <w:ind w:firstLine="480"/>
        <w:jc w:val="both"/>
      </w:pPr>
      <w:r>
        <w:rPr>
          <w:sz w:val="24"/>
        </w:rPr>
        <w:t>委托方（甲方）：</w:t>
      </w:r>
      <w:r>
        <w:rPr>
          <w:sz w:val="24"/>
          <w:u w:val="single"/>
        </w:rPr>
        <w:t>广州市规划和自然资源局</w:t>
      </w:r>
    </w:p>
    <w:p>
      <w:pPr>
        <w:pStyle w:val="null3"/>
        <w:ind w:firstLine="480"/>
        <w:jc w:val="both"/>
      </w:pPr>
      <w:r>
        <w:rPr>
          <w:sz w:val="24"/>
        </w:rPr>
        <w:t>住所地：</w:t>
      </w:r>
      <w:r>
        <w:rPr>
          <w:sz w:val="24"/>
          <w:u w:val="single"/>
        </w:rPr>
        <w:t>广州市越秀区吉祥路80号</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w:t>
      </w:r>
    </w:p>
    <w:p>
      <w:pPr>
        <w:pStyle w:val="null3"/>
        <w:ind w:firstLine="480"/>
        <w:jc w:val="both"/>
      </w:pPr>
      <w:r>
        <w:rPr>
          <w:sz w:val="24"/>
        </w:rPr>
        <w:t>通讯地址：</w:t>
      </w:r>
      <w:r>
        <w:rPr>
          <w:sz w:val="24"/>
          <w:u w:val="single"/>
        </w:rPr>
        <w:t>广州市吉祥路80号</w:t>
      </w:r>
    </w:p>
    <w:p>
      <w:pPr>
        <w:pStyle w:val="null3"/>
        <w:ind w:firstLine="480"/>
        <w:jc w:val="both"/>
      </w:pPr>
      <w:r>
        <w:rPr>
          <w:sz w:val="24"/>
        </w:rPr>
        <w:t>电话：传真：</w:t>
      </w:r>
    </w:p>
    <w:p>
      <w:pPr>
        <w:pStyle w:val="null3"/>
        <w:ind w:firstLine="480"/>
        <w:jc w:val="both"/>
      </w:pPr>
      <w:r>
        <w:rPr>
          <w:sz w:val="24"/>
        </w:rPr>
        <w:t>电子信箱：</w:t>
      </w:r>
    </w:p>
    <w:p>
      <w:pPr>
        <w:pStyle w:val="null3"/>
        <w:ind w:firstLine="480"/>
        <w:jc w:val="both"/>
      </w:pPr>
      <w:r>
        <w:rPr>
          <w:sz w:val="24"/>
        </w:rPr>
        <w:t>受托方（乙方）：</w:t>
      </w:r>
    </w:p>
    <w:p>
      <w:pPr>
        <w:pStyle w:val="null3"/>
        <w:ind w:firstLine="480"/>
        <w:jc w:val="both"/>
      </w:pPr>
      <w:r>
        <w:rPr>
          <w:sz w:val="24"/>
        </w:rPr>
        <w:t>住所地：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w:t>
      </w:r>
    </w:p>
    <w:p>
      <w:pPr>
        <w:pStyle w:val="null3"/>
        <w:ind w:firstLine="480"/>
        <w:jc w:val="both"/>
      </w:pPr>
      <w:r>
        <w:rPr>
          <w:sz w:val="24"/>
        </w:rPr>
        <w:t>通讯地址：</w:t>
      </w:r>
    </w:p>
    <w:p>
      <w:pPr>
        <w:pStyle w:val="null3"/>
        <w:ind w:firstLine="480"/>
        <w:jc w:val="both"/>
      </w:pPr>
      <w:r>
        <w:rPr>
          <w:sz w:val="24"/>
        </w:rPr>
        <w:t>电话：传真：</w:t>
      </w:r>
    </w:p>
    <w:p>
      <w:pPr>
        <w:pStyle w:val="null3"/>
        <w:ind w:firstLine="480"/>
        <w:jc w:val="both"/>
      </w:pPr>
      <w:r>
        <w:rPr>
          <w:sz w:val="24"/>
        </w:rPr>
        <w:t>电子信箱：</w:t>
      </w:r>
    </w:p>
    <w:p>
      <w:pPr>
        <w:pStyle w:val="null3"/>
        <w:ind w:firstLine="480"/>
        <w:jc w:val="center"/>
      </w:pPr>
      <w:r>
        <w:rPr>
          <w:sz w:val="24"/>
        </w:rPr>
        <w:t>本合同甲方委托乙方就</w:t>
      </w:r>
      <w:r>
        <w:rPr>
          <w:sz w:val="24"/>
          <w:u w:val="single"/>
        </w:rPr>
        <w:t>城维计划-综合交通规划编制经费（子项10：2025年市级重点交通项目前期研究及主骨架道路、轨道规划及维护）</w:t>
      </w:r>
      <w:r>
        <w:rPr>
          <w:sz w:val="24"/>
        </w:rPr>
        <w:t>项目进行的专项技术服务，并支付相应的技术服务报酬。双方经过平等协商，在真实、充分地表达各自意愿的基础上，根据《中华人民共和国民法典》的规定，达成如下协议，并由双方共同恪守。</w:t>
      </w:r>
    </w:p>
    <w:p>
      <w:pPr>
        <w:pStyle w:val="null3"/>
        <w:ind w:firstLine="482"/>
        <w:jc w:val="both"/>
      </w:pPr>
      <w:r>
        <w:rPr>
          <w:sz w:val="24"/>
          <w:b/>
        </w:rPr>
        <w:t>第一条：</w:t>
      </w:r>
      <w:r>
        <w:rPr>
          <w:sz w:val="24"/>
        </w:rPr>
        <w:t>甲方委托乙方进行技术服务的内容如下：</w:t>
      </w:r>
    </w:p>
    <w:p>
      <w:pPr>
        <w:pStyle w:val="null3"/>
        <w:ind w:firstLine="480"/>
        <w:jc w:val="both"/>
      </w:pPr>
      <w:r>
        <w:rPr>
          <w:sz w:val="24"/>
        </w:rPr>
        <w:t>1．技术服务的目标：</w:t>
      </w:r>
      <w:r>
        <w:rPr>
          <w:sz w:val="24"/>
          <w:u w:val="single"/>
        </w:rPr>
        <w:t>为更好的服务城市建设和发展，促进国土空间规划相关重点交通项目在详规阶段的落实传导，加强轨道、道路等交通设施与城市规划、用地规划、产业布局的协调，保障规划轨道、道路项目用地空间，助力用地管控、规划审批工作，确保现状及在建轨道、道路项目运营安全，特开展《2025年市级重点交通项目前期研究及主骨架道路、轨道交通规划及维护》编制工作。</w:t>
      </w:r>
    </w:p>
    <w:p>
      <w:pPr>
        <w:pStyle w:val="null3"/>
        <w:ind w:firstLine="480"/>
        <w:jc w:val="both"/>
      </w:pPr>
      <w:r>
        <w:rPr>
          <w:sz w:val="24"/>
        </w:rPr>
        <w:t>2．研究范围：</w:t>
      </w:r>
      <w:r>
        <w:rPr>
          <w:sz w:val="24"/>
          <w:u w:val="single"/>
        </w:rPr>
        <w:t>广州市域范围，包含11个区。</w:t>
      </w:r>
    </w:p>
    <w:p>
      <w:pPr>
        <w:pStyle w:val="null3"/>
        <w:ind w:firstLine="480"/>
        <w:jc w:val="both"/>
      </w:pPr>
      <w:r>
        <w:rPr>
          <w:sz w:val="24"/>
        </w:rPr>
        <w:t>3．技术服务的内容：</w:t>
      </w:r>
    </w:p>
    <w:p>
      <w:pPr>
        <w:pStyle w:val="null3"/>
        <w:ind w:firstLine="480"/>
        <w:jc w:val="both"/>
      </w:pPr>
      <w:r>
        <w:rPr>
          <w:sz w:val="24"/>
          <w:u w:val="single"/>
        </w:rPr>
        <w:t>（1）研究背景和意义</w:t>
      </w:r>
    </w:p>
    <w:p>
      <w:pPr>
        <w:pStyle w:val="null3"/>
        <w:ind w:firstLine="480"/>
        <w:jc w:val="both"/>
      </w:pPr>
      <w:r>
        <w:rPr>
          <w:sz w:val="24"/>
          <w:u w:val="single"/>
        </w:rPr>
        <w:t>为响应国家、省、市和重点地区发展新要求，支撑城市重点地区和重大交通专项工作，促进国土空间规划相关重点交通项目在详规阶段的落实传导，加强交通与用地规划、产业布局的协调，剖析项目研究背景和意义，明确项目研究主要内容，制定研究技术路线。</w:t>
      </w:r>
    </w:p>
    <w:p>
      <w:pPr>
        <w:pStyle w:val="null3"/>
        <w:ind w:firstLine="480"/>
        <w:jc w:val="both"/>
      </w:pPr>
      <w:r>
        <w:rPr>
          <w:sz w:val="24"/>
          <w:u w:val="single"/>
        </w:rPr>
        <w:t>（2）规划研究基础</w:t>
      </w:r>
    </w:p>
    <w:p>
      <w:pPr>
        <w:pStyle w:val="null3"/>
        <w:ind w:firstLine="480"/>
        <w:jc w:val="both"/>
      </w:pPr>
      <w:r>
        <w:rPr>
          <w:sz w:val="24"/>
          <w:u w:val="single"/>
        </w:rPr>
        <w:t>收集市区国土空间总体规划、全市在编控制性详细规划、2025年控制性详细规划编制计划、用地储备计划、用地出让计划、工业园区建设计划、重点平台推进计划，形成涵盖全市不同类型重点项目的一张总图，梳理当前交通规划与当前城市重点规划和建设项目的关系，进而形成本项目重点交通专项、主骨架道路、轨道交通、重要换乘与立交节点等交通项目前期研究需求。</w:t>
      </w:r>
    </w:p>
    <w:p>
      <w:pPr>
        <w:pStyle w:val="null3"/>
        <w:ind w:firstLine="480"/>
        <w:jc w:val="both"/>
      </w:pPr>
      <w:r>
        <w:rPr>
          <w:sz w:val="24"/>
          <w:u w:val="single"/>
        </w:rPr>
        <w:t>（3）交通规划方案研究</w:t>
      </w:r>
    </w:p>
    <w:p>
      <w:pPr>
        <w:pStyle w:val="null3"/>
        <w:ind w:firstLine="480"/>
        <w:jc w:val="both"/>
      </w:pPr>
      <w:r>
        <w:rPr>
          <w:sz w:val="24"/>
          <w:u w:val="single"/>
        </w:rPr>
        <w:t>围绕2025年度交通项目前期研究需求，与专项规划、重点规划建设项目同步，开展交通方案研究工作，包括主骨架路网红线、规划轨道线路、轨道交通第四期建设规划线路、山海碧带骑行道贯通方案、重要换乘与立交节点开展详细方案等，保障省、市重点项目落地，加强交通与城市建设、产业布局的协调。</w:t>
      </w:r>
    </w:p>
    <w:p>
      <w:pPr>
        <w:pStyle w:val="null3"/>
        <w:ind w:firstLine="480"/>
        <w:jc w:val="both"/>
      </w:pPr>
      <w:r>
        <w:rPr>
          <w:sz w:val="24"/>
          <w:u w:val="single"/>
        </w:rPr>
        <w:t>（4）交通“一张图”动态维护</w:t>
      </w:r>
    </w:p>
    <w:p>
      <w:pPr>
        <w:pStyle w:val="null3"/>
        <w:ind w:firstLine="480"/>
        <w:jc w:val="both"/>
      </w:pPr>
      <w:r>
        <w:rPr>
          <w:sz w:val="24"/>
          <w:u w:val="single"/>
        </w:rPr>
        <w:t>根据道路和轨道“一张图”规划管控要求，按照详细规划及专项规划批复，按月更新主骨架道路红线，按季度更新在建轨道和已完成调整优化流程的规划轨道管控图则，及时更新2025年开通运营轨道管控图则，保障管控的时效性与权威性。</w:t>
      </w:r>
    </w:p>
    <w:p>
      <w:pPr>
        <w:pStyle w:val="null3"/>
        <w:ind w:firstLine="480"/>
        <w:jc w:val="both"/>
      </w:pPr>
      <w:r>
        <w:rPr>
          <w:sz w:val="24"/>
          <w:u w:val="single"/>
        </w:rPr>
        <w:t>（5）交通规划技术咨询和保障服务</w:t>
      </w:r>
    </w:p>
    <w:p>
      <w:pPr>
        <w:pStyle w:val="null3"/>
        <w:ind w:firstLine="480"/>
        <w:jc w:val="both"/>
      </w:pPr>
      <w:r>
        <w:rPr>
          <w:sz w:val="24"/>
          <w:u w:val="single"/>
        </w:rPr>
        <w:t>为服务规划审批与管理工作，对纳入联审的重大道路交通类项目、市域重大高快速路项目，在项目前期方案研究、联审各阶段（协同会审、联合评审、联审决策），开展项目方案规划技术咨询服务。在总结全市道路品质提升建设成果和经验的基础上，结合规划建设流程，制定广州市道路品质提升规划设计指引，为长效推进全市道路品质提升工作提供技术支撑。</w:t>
      </w:r>
    </w:p>
    <w:p>
      <w:pPr>
        <w:pStyle w:val="null3"/>
        <w:ind w:firstLine="480"/>
        <w:jc w:val="both"/>
      </w:pPr>
      <w:r>
        <w:rPr>
          <w:sz w:val="24"/>
        </w:rPr>
        <w:t>4．技术服务的方式：</w:t>
      </w:r>
      <w:r>
        <w:rPr>
          <w:sz w:val="24"/>
          <w:u w:val="single"/>
        </w:rPr>
        <w:t>总价包干</w:t>
      </w:r>
      <w:r>
        <w:rPr>
          <w:sz w:val="24"/>
        </w:rPr>
        <w:t>。</w:t>
      </w:r>
    </w:p>
    <w:p>
      <w:pPr>
        <w:pStyle w:val="null3"/>
        <w:ind w:firstLine="480"/>
        <w:jc w:val="both"/>
      </w:pPr>
      <w:r>
        <w:rPr>
          <w:sz w:val="24"/>
        </w:rPr>
        <w:t>5．</w:t>
      </w:r>
      <w:r>
        <w:rPr>
          <w:sz w:val="24"/>
          <w:u w:val="single"/>
        </w:rPr>
        <w:t>为保证项目工作的持续性，承接单位需提供后续服务保障，协助完成项目报批及成果宣传工作。</w:t>
      </w:r>
    </w:p>
    <w:p>
      <w:pPr>
        <w:pStyle w:val="null3"/>
        <w:ind w:firstLine="482"/>
        <w:jc w:val="both"/>
      </w:pPr>
      <w:r>
        <w:rPr>
          <w:sz w:val="24"/>
          <w:b/>
        </w:rPr>
        <w:t>第二条：</w:t>
      </w:r>
      <w:r>
        <w:rPr>
          <w:sz w:val="24"/>
        </w:rPr>
        <w:t>乙方应按下列要求完成技术服务工作：</w:t>
      </w:r>
    </w:p>
    <w:p>
      <w:pPr>
        <w:pStyle w:val="null3"/>
        <w:ind w:firstLine="480"/>
        <w:jc w:val="both"/>
      </w:pPr>
      <w:r>
        <w:rPr>
          <w:sz w:val="24"/>
        </w:rPr>
        <w:t>1．技术服务地点：</w:t>
      </w:r>
      <w:r>
        <w:rPr>
          <w:sz w:val="24"/>
          <w:u w:val="single"/>
        </w:rPr>
        <w:t>广州市</w:t>
      </w:r>
    </w:p>
    <w:p>
      <w:pPr>
        <w:pStyle w:val="null3"/>
        <w:ind w:firstLine="480"/>
        <w:jc w:val="both"/>
      </w:pPr>
      <w:r>
        <w:rPr>
          <w:sz w:val="24"/>
        </w:rPr>
        <w:t>2．技术服务期限：自合同签订之日起至2026年12月31日。</w:t>
      </w:r>
    </w:p>
    <w:p>
      <w:pPr>
        <w:pStyle w:val="null3"/>
        <w:ind w:firstLine="480"/>
        <w:jc w:val="both"/>
      </w:pPr>
      <w:r>
        <w:rPr>
          <w:sz w:val="24"/>
        </w:rPr>
        <w:t>3．技术服务团队要求：</w:t>
      </w:r>
      <w:r>
        <w:rPr>
          <w:sz w:val="24"/>
          <w:u w:val="single"/>
        </w:rPr>
        <w:t>乙方所提交的项目组成员名单以及项目负责人未经书面申请并获得甲方同意，不得更换。项目汇报应由项目负责人汇报，未经甲方同意不得调整汇报人。</w:t>
      </w:r>
    </w:p>
    <w:p>
      <w:pPr>
        <w:pStyle w:val="null3"/>
        <w:ind w:firstLine="480"/>
        <w:jc w:val="both"/>
      </w:pPr>
      <w:r>
        <w:rPr>
          <w:sz w:val="24"/>
        </w:rPr>
        <w:t>4．技术服务进度：</w:t>
      </w:r>
      <w:r>
        <w:rPr>
          <w:sz w:val="24"/>
          <w:u w:val="single"/>
        </w:rPr>
        <w:t xml:space="preserve">           。</w:t>
      </w:r>
    </w:p>
    <w:p>
      <w:pPr>
        <w:pStyle w:val="null3"/>
        <w:ind w:firstLine="480"/>
        <w:jc w:val="both"/>
      </w:pPr>
      <w:r>
        <w:rPr>
          <w:sz w:val="24"/>
        </w:rPr>
        <w:t>5．技术服务质量要求：</w:t>
      </w:r>
    </w:p>
    <w:p>
      <w:pPr>
        <w:pStyle w:val="null3"/>
        <w:ind w:firstLine="480"/>
        <w:jc w:val="both"/>
      </w:pPr>
      <w:r>
        <w:rPr>
          <w:sz w:val="24"/>
          <w:u w:val="single"/>
        </w:rPr>
        <w:t>（1）设计成果内容必须符合需求书中的设计原则、规划内容等有关章节的规定。</w:t>
      </w:r>
    </w:p>
    <w:p>
      <w:pPr>
        <w:pStyle w:val="null3"/>
        <w:ind w:firstLine="480"/>
        <w:jc w:val="both"/>
      </w:pPr>
      <w:r>
        <w:rPr>
          <w:sz w:val="24"/>
          <w:u w:val="single"/>
        </w:rPr>
        <w:t>（2）规划设计成果包括：规划文本、图纸和附件以及相对应的电子文件，符合入库标准。</w:t>
      </w:r>
    </w:p>
    <w:p>
      <w:pPr>
        <w:pStyle w:val="null3"/>
        <w:ind w:firstLine="480"/>
        <w:jc w:val="both"/>
      </w:pPr>
      <w:r>
        <w:rPr>
          <w:sz w:val="24"/>
          <w:u w:val="single"/>
        </w:rPr>
        <w:t>（3）成果深度：设计成果的深度必须符合需求书中的深度要求。</w:t>
      </w:r>
    </w:p>
    <w:p>
      <w:pPr>
        <w:pStyle w:val="null3"/>
        <w:ind w:firstLine="480"/>
        <w:jc w:val="both"/>
      </w:pPr>
      <w:r>
        <w:rPr>
          <w:sz w:val="24"/>
          <w:u w:val="single"/>
        </w:rPr>
        <w:t>（4）在各阶段成果等各阶段汇报交流后，应随即提交项目各阶段性方案的全部电子文件（CAD、PPT、JPG文件格式）。最终成果须提交A3规格的规划文本10套，同时提交全部成果的电子文件（CAD、GIS、JPG、DOC、PDF文件格式，符合入库标准、多媒体汇报文件）2套。</w:t>
      </w:r>
    </w:p>
    <w:p>
      <w:pPr>
        <w:pStyle w:val="null3"/>
        <w:ind w:firstLine="480"/>
        <w:jc w:val="both"/>
      </w:pPr>
      <w:r>
        <w:rPr>
          <w:sz w:val="24"/>
          <w:u w:val="single"/>
        </w:rPr>
        <w:t>（5）成果规范：交付的成果必须签署齐全，设计图纸和文本文件必须做到清晰、完整，尺寸齐全、准确，同类图纸规格应统一。</w:t>
      </w:r>
    </w:p>
    <w:p>
      <w:pPr>
        <w:pStyle w:val="null3"/>
        <w:ind w:firstLine="482"/>
        <w:jc w:val="both"/>
      </w:pPr>
      <w:r>
        <w:rPr>
          <w:sz w:val="24"/>
          <w:b/>
        </w:rPr>
        <w:t>第三条</w:t>
      </w:r>
      <w:r>
        <w:rPr>
          <w:sz w:val="24"/>
        </w:rPr>
        <w:t>：为保证乙方有效进行技术服务工作，甲方应当向乙方提供下列工作条件和协作事项：</w:t>
      </w:r>
    </w:p>
    <w:p>
      <w:pPr>
        <w:pStyle w:val="null3"/>
        <w:ind w:firstLine="480"/>
        <w:jc w:val="both"/>
      </w:pPr>
      <w:r>
        <w:rPr>
          <w:sz w:val="24"/>
        </w:rPr>
        <w:t>1．提供技术资料：</w:t>
      </w:r>
      <w:r>
        <w:rPr>
          <w:sz w:val="24"/>
          <w:u w:val="single"/>
        </w:rPr>
        <w:t>由甲乙双方协商确定</w:t>
      </w:r>
    </w:p>
    <w:p>
      <w:pPr>
        <w:pStyle w:val="null3"/>
        <w:ind w:firstLine="480"/>
        <w:jc w:val="both"/>
      </w:pPr>
      <w:r>
        <w:rPr>
          <w:sz w:val="24"/>
        </w:rPr>
        <w:t>2．提供工作条件：</w:t>
      </w:r>
    </w:p>
    <w:p>
      <w:pPr>
        <w:pStyle w:val="null3"/>
        <w:ind w:firstLine="480"/>
        <w:jc w:val="both"/>
      </w:pPr>
      <w:r>
        <w:rPr>
          <w:sz w:val="24"/>
        </w:rPr>
        <w:t>（1）</w:t>
      </w:r>
      <w:r>
        <w:rPr>
          <w:sz w:val="24"/>
          <w:u w:val="single"/>
        </w:rPr>
        <w:t>协助开展资料收集及现场调查</w:t>
      </w:r>
    </w:p>
    <w:p>
      <w:pPr>
        <w:pStyle w:val="null3"/>
        <w:ind w:firstLine="480"/>
        <w:jc w:val="both"/>
      </w:pPr>
      <w:r>
        <w:rPr>
          <w:sz w:val="24"/>
        </w:rPr>
        <w:t>（2）</w:t>
      </w:r>
      <w:r>
        <w:rPr>
          <w:sz w:val="24"/>
          <w:u w:val="single"/>
        </w:rPr>
        <w:t>负责协调有关部门</w:t>
      </w:r>
    </w:p>
    <w:p>
      <w:pPr>
        <w:pStyle w:val="null3"/>
        <w:ind w:firstLine="480"/>
        <w:jc w:val="both"/>
      </w:pPr>
      <w:r>
        <w:rPr>
          <w:sz w:val="24"/>
        </w:rPr>
        <w:t>3．其他：</w:t>
      </w:r>
      <w:r>
        <w:rPr>
          <w:sz w:val="24"/>
          <w:u w:val="single"/>
        </w:rPr>
        <w:t>负责组织成果评审和报审</w:t>
      </w:r>
    </w:p>
    <w:p>
      <w:pPr>
        <w:pStyle w:val="null3"/>
        <w:ind w:firstLine="480"/>
        <w:jc w:val="both"/>
      </w:pPr>
      <w:r>
        <w:rPr>
          <w:sz w:val="24"/>
        </w:rPr>
        <w:t>4．甲方提供上述工作条件和协作事项的时间及方式：</w:t>
      </w:r>
      <w:r>
        <w:rPr>
          <w:sz w:val="24"/>
          <w:u w:val="single"/>
        </w:rPr>
        <w:t>双方签订合同后，具体方式由双方协商</w:t>
      </w:r>
      <w:r>
        <w:rPr>
          <w:sz w:val="24"/>
        </w:rPr>
        <w:t>。</w:t>
      </w:r>
    </w:p>
    <w:p>
      <w:pPr>
        <w:pStyle w:val="null3"/>
        <w:ind w:firstLine="482"/>
        <w:jc w:val="both"/>
      </w:pPr>
      <w:r>
        <w:rPr>
          <w:sz w:val="24"/>
          <w:b/>
        </w:rPr>
        <w:t>第四条</w:t>
      </w:r>
      <w:r>
        <w:rPr>
          <w:sz w:val="24"/>
        </w:rPr>
        <w:t>：甲方向乙方支付技术服务报酬及支付方式为：</w:t>
      </w:r>
    </w:p>
    <w:p>
      <w:pPr>
        <w:pStyle w:val="null3"/>
        <w:ind w:firstLine="480"/>
        <w:jc w:val="both"/>
      </w:pPr>
      <w:r>
        <w:rPr>
          <w:sz w:val="24"/>
        </w:rPr>
        <w:t>1．技术服务费总额为：</w:t>
      </w:r>
      <w:r>
        <w:rPr>
          <w:sz w:val="24"/>
          <w:u w:val="single"/>
        </w:rPr>
        <w:t>（中标总价）</w:t>
      </w:r>
    </w:p>
    <w:p>
      <w:pPr>
        <w:pStyle w:val="null3"/>
        <w:ind w:firstLine="480"/>
        <w:jc w:val="both"/>
      </w:pPr>
      <w:r>
        <w:rPr>
          <w:sz w:val="24"/>
        </w:rPr>
        <w:t>2．技术服务费由甲方</w:t>
      </w:r>
      <w:r>
        <w:rPr>
          <w:sz w:val="24"/>
          <w:u w:val="single"/>
        </w:rPr>
        <w:t xml:space="preserve"> 分三期  </w:t>
      </w:r>
      <w:r>
        <w:rPr>
          <w:sz w:val="24"/>
        </w:rPr>
        <w:t>支付乙方。</w:t>
      </w:r>
    </w:p>
    <w:p>
      <w:pPr>
        <w:pStyle w:val="null3"/>
        <w:ind w:firstLine="480"/>
        <w:jc w:val="both"/>
      </w:pPr>
      <w:r>
        <w:rPr>
          <w:sz w:val="24"/>
        </w:rPr>
        <w:t>具体支付方式和时间如下：</w:t>
      </w:r>
    </w:p>
    <w:p>
      <w:pPr>
        <w:pStyle w:val="null3"/>
        <w:ind w:firstLine="480"/>
        <w:jc w:val="both"/>
      </w:pPr>
      <w:r>
        <w:rPr>
          <w:sz w:val="24"/>
        </w:rPr>
        <w:t>（1）签订合同后，甲方自收到发票后5个工作日内向乙方支付本项目合同总金额的40%，即人民币(大写)：</w:t>
      </w:r>
      <w:r>
        <w:rPr>
          <w:sz w:val="24"/>
          <w:u w:val="single"/>
        </w:rPr>
        <w:t xml:space="preserve">        </w:t>
      </w:r>
      <w:r>
        <w:rPr>
          <w:sz w:val="24"/>
        </w:rPr>
        <w:t>元整；(小写)：￥</w:t>
      </w:r>
      <w:r>
        <w:rPr>
          <w:sz w:val="24"/>
          <w:u w:val="single"/>
        </w:rPr>
        <w:t xml:space="preserve">        </w:t>
      </w:r>
      <w:r>
        <w:rPr>
          <w:sz w:val="24"/>
        </w:rPr>
        <w:t>。预计在2025年3月31日前支付第一期费用。</w:t>
      </w:r>
    </w:p>
    <w:p>
      <w:pPr>
        <w:pStyle w:val="null3"/>
        <w:ind w:firstLine="480"/>
        <w:jc w:val="both"/>
      </w:pPr>
      <w:r>
        <w:rPr>
          <w:sz w:val="24"/>
        </w:rPr>
        <w:t>（2）2025年9月30日前，乙方按期完成规划成果，并通过专家评审后申请拨付合同经费，合同总金额的20%，即人民币(大写)：</w:t>
      </w:r>
      <w:r>
        <w:rPr>
          <w:sz w:val="24"/>
          <w:u w:val="single"/>
        </w:rPr>
        <w:t xml:space="preserve">        </w:t>
      </w:r>
      <w:r>
        <w:rPr>
          <w:sz w:val="24"/>
        </w:rPr>
        <w:t>元整；(小写)：￥</w:t>
      </w:r>
      <w:r>
        <w:rPr>
          <w:sz w:val="24"/>
          <w:u w:val="single"/>
        </w:rPr>
        <w:t xml:space="preserve">        </w:t>
      </w:r>
      <w:r>
        <w:rPr>
          <w:sz w:val="24"/>
        </w:rPr>
        <w:t>。预计在2025年9月30日前支付第二期费用。</w:t>
      </w:r>
    </w:p>
    <w:p>
      <w:pPr>
        <w:pStyle w:val="null3"/>
        <w:ind w:firstLine="480"/>
        <w:jc w:val="both"/>
      </w:pPr>
      <w:r>
        <w:rPr>
          <w:sz w:val="24"/>
        </w:rPr>
        <w:t>（3）2026年3月31日前，乙方根据甲方审查意见修改规划成果。最终成果经甲方验收通过并出具结题函，待成果归档后申请拨付合同经费，合同总金额的40%，即人民币(大写)：</w:t>
      </w:r>
      <w:r>
        <w:rPr>
          <w:sz w:val="24"/>
          <w:u w:val="single"/>
        </w:rPr>
        <w:t xml:space="preserve">        </w:t>
      </w:r>
      <w:r>
        <w:rPr>
          <w:sz w:val="24"/>
        </w:rPr>
        <w:t>元整；(小写)：￥</w:t>
      </w:r>
      <w:r>
        <w:rPr>
          <w:sz w:val="24"/>
          <w:u w:val="single"/>
        </w:rPr>
        <w:t xml:space="preserve">        </w:t>
      </w:r>
      <w:r>
        <w:rPr>
          <w:sz w:val="24"/>
        </w:rPr>
        <w:t>。预计在2026年3月31日前支付第三期费用。</w:t>
      </w:r>
    </w:p>
    <w:p>
      <w:pPr>
        <w:pStyle w:val="null3"/>
        <w:ind w:firstLine="480"/>
        <w:jc w:val="both"/>
      </w:pPr>
      <w:r>
        <w:rPr>
          <w:sz w:val="24"/>
        </w:rPr>
        <w:t>（4）对于满足合同支付条件的，甲方原则上应当在收到发票后5个工作日内按照《广州市本级财政直接支付用款申请办事指南》办理支付手续。</w:t>
      </w:r>
    </w:p>
    <w:p>
      <w:pPr>
        <w:pStyle w:val="null3"/>
        <w:ind w:firstLine="480"/>
        <w:jc w:val="both"/>
      </w:pPr>
      <w:r>
        <w:rPr>
          <w:sz w:val="24"/>
        </w:rPr>
        <w:t>（5）每次按合同支付款项前，乙方应向甲方提供与支付金额相符的有效发票，且收款方、出具发票方、合同乙方均必须与乙方名称一致。</w:t>
      </w:r>
    </w:p>
    <w:p>
      <w:pPr>
        <w:pStyle w:val="null3"/>
        <w:ind w:firstLine="480"/>
        <w:jc w:val="both"/>
      </w:pPr>
      <w:r>
        <w:rPr>
          <w:sz w:val="24"/>
        </w:rPr>
        <w:t>（6）因甲方使用的是财政资金，甲方在前款规定的付款时间内向支付部门提出办理财政支付申请手续的时间（不含政府财政支付部门审核的时间）即视为甲方已经按期支付，实际付款时间及金额以支付部门支付时间及金额为准。</w:t>
      </w:r>
    </w:p>
    <w:p>
      <w:pPr>
        <w:pStyle w:val="null3"/>
        <w:ind w:firstLine="480"/>
        <w:jc w:val="both"/>
      </w:pPr>
      <w:r>
        <w:rPr>
          <w:sz w:val="24"/>
        </w:rPr>
        <w:t>乙方开户银行名称、地址和账号为：</w:t>
      </w:r>
    </w:p>
    <w:p>
      <w:pPr>
        <w:pStyle w:val="null3"/>
        <w:ind w:firstLine="480"/>
        <w:jc w:val="both"/>
      </w:pPr>
      <w:r>
        <w:rPr>
          <w:sz w:val="24"/>
        </w:rPr>
        <w:t>开户银行：</w:t>
      </w:r>
    </w:p>
    <w:p>
      <w:pPr>
        <w:pStyle w:val="null3"/>
        <w:ind w:firstLine="480"/>
        <w:jc w:val="both"/>
      </w:pPr>
      <w:r>
        <w:rPr>
          <w:sz w:val="24"/>
        </w:rPr>
        <w:t>地址：</w:t>
      </w:r>
    </w:p>
    <w:p>
      <w:pPr>
        <w:pStyle w:val="null3"/>
        <w:ind w:firstLine="480"/>
        <w:jc w:val="both"/>
      </w:pPr>
      <w:r>
        <w:rPr>
          <w:sz w:val="24"/>
        </w:rPr>
        <w:t>账号：</w:t>
      </w:r>
    </w:p>
    <w:p>
      <w:pPr>
        <w:pStyle w:val="null3"/>
        <w:ind w:firstLine="482"/>
        <w:jc w:val="both"/>
      </w:pPr>
      <w:r>
        <w:rPr>
          <w:sz w:val="24"/>
          <w:b/>
        </w:rPr>
        <w:t>第五条</w:t>
      </w:r>
      <w:r>
        <w:rPr>
          <w:sz w:val="24"/>
        </w:rPr>
        <w:t>：双方确定因履行本合同应遵守的保密义务如下：</w:t>
      </w:r>
    </w:p>
    <w:p>
      <w:pPr>
        <w:pStyle w:val="null3"/>
        <w:ind w:firstLine="480"/>
        <w:jc w:val="both"/>
      </w:pPr>
      <w:r>
        <w:rPr>
          <w:sz w:val="24"/>
        </w:rPr>
        <w:t>1．保密内容（包括技术信息和经营信息）:</w:t>
      </w:r>
      <w:r>
        <w:rPr>
          <w:sz w:val="24"/>
          <w:u w:val="single"/>
        </w:rPr>
        <w:t>全部研究成果，包括各种因使用本项目经费而获得的资料、研究成果的文本和电子文件；</w:t>
      </w:r>
    </w:p>
    <w:p>
      <w:pPr>
        <w:pStyle w:val="null3"/>
        <w:ind w:firstLine="480"/>
        <w:jc w:val="both"/>
      </w:pPr>
      <w:r>
        <w:rPr>
          <w:sz w:val="24"/>
        </w:rPr>
        <w:t>2．涉密人员范围:</w:t>
      </w:r>
      <w:r>
        <w:rPr>
          <w:sz w:val="24"/>
          <w:u w:val="single"/>
        </w:rPr>
        <w:t>参与本项工作的人员；</w:t>
      </w:r>
    </w:p>
    <w:p>
      <w:pPr>
        <w:pStyle w:val="null3"/>
        <w:ind w:firstLine="480"/>
        <w:jc w:val="both"/>
      </w:pPr>
      <w:r>
        <w:rPr>
          <w:sz w:val="24"/>
        </w:rPr>
        <w:t>3．保密期限：</w:t>
      </w:r>
      <w:r>
        <w:rPr>
          <w:sz w:val="24"/>
          <w:u w:val="single"/>
        </w:rPr>
        <w:t>合同履行期限内必须执行保密约定，合同履行期限届满后按照法律、法规、规章、规范性文件等规定执行</w:t>
      </w:r>
      <w:r>
        <w:rPr>
          <w:sz w:val="24"/>
        </w:rPr>
        <w:t>；</w:t>
      </w:r>
    </w:p>
    <w:p>
      <w:pPr>
        <w:pStyle w:val="null3"/>
        <w:ind w:firstLine="480"/>
        <w:jc w:val="both"/>
      </w:pPr>
      <w:r>
        <w:rPr>
          <w:sz w:val="24"/>
        </w:rPr>
        <w:t>4．泄密责任：</w:t>
      </w:r>
      <w:r>
        <w:rPr>
          <w:sz w:val="24"/>
          <w:u w:val="single"/>
        </w:rPr>
        <w:t>按照法律规定承担有关责任</w:t>
      </w:r>
      <w:r>
        <w:rPr>
          <w:sz w:val="24"/>
        </w:rPr>
        <w:t>。</w:t>
      </w:r>
    </w:p>
    <w:p>
      <w:pPr>
        <w:pStyle w:val="null3"/>
        <w:ind w:firstLine="482"/>
        <w:jc w:val="both"/>
      </w:pPr>
      <w:r>
        <w:rPr>
          <w:sz w:val="24"/>
          <w:b/>
        </w:rPr>
        <w:t>第六条</w:t>
      </w:r>
      <w:r>
        <w:rPr>
          <w:sz w:val="24"/>
        </w:rPr>
        <w:t>：本合同的变更必须由双方协商一致，并以书面形式确定。但有下列情形之一的，一方可以向另一方提出变更合同权利与义务的请求，另一方应当在</w:t>
      </w:r>
      <w:r>
        <w:rPr>
          <w:sz w:val="24"/>
          <w:u w:val="single"/>
        </w:rPr>
        <w:t>十五</w:t>
      </w:r>
      <w:r>
        <w:rPr>
          <w:sz w:val="24"/>
        </w:rPr>
        <w:t>日内予以答复；逾期未予答复的，视为同意：</w:t>
      </w:r>
    </w:p>
    <w:p>
      <w:pPr>
        <w:pStyle w:val="null3"/>
        <w:ind w:firstLine="480"/>
        <w:jc w:val="both"/>
      </w:pPr>
      <w:r>
        <w:rPr>
          <w:sz w:val="24"/>
        </w:rPr>
        <w:t>1．</w:t>
      </w:r>
      <w:r>
        <w:rPr>
          <w:sz w:val="24"/>
          <w:u w:val="single"/>
        </w:rPr>
        <w:t>国家法律、法规、政策、技术标准和规范、政府计划调整</w:t>
      </w:r>
    </w:p>
    <w:p>
      <w:pPr>
        <w:pStyle w:val="null3"/>
        <w:ind w:firstLine="480"/>
        <w:jc w:val="both"/>
      </w:pPr>
      <w:r>
        <w:rPr>
          <w:sz w:val="24"/>
        </w:rPr>
        <w:t>2．</w:t>
      </w:r>
      <w:r>
        <w:rPr>
          <w:sz w:val="24"/>
          <w:u w:val="single"/>
        </w:rPr>
        <w:t>项目建议书变更</w:t>
      </w:r>
    </w:p>
    <w:p>
      <w:pPr>
        <w:pStyle w:val="null3"/>
        <w:ind w:firstLine="482"/>
        <w:jc w:val="both"/>
      </w:pPr>
      <w:r>
        <w:rPr>
          <w:sz w:val="24"/>
          <w:b/>
        </w:rPr>
        <w:t>第七条：</w:t>
      </w:r>
      <w:r>
        <w:rPr>
          <w:sz w:val="24"/>
        </w:rPr>
        <w:t>双方确定以下列标准和方式对乙方的技术服务工作成果进行验收：</w:t>
      </w:r>
    </w:p>
    <w:p>
      <w:pPr>
        <w:pStyle w:val="null3"/>
        <w:ind w:firstLine="480"/>
        <w:jc w:val="both"/>
      </w:pPr>
      <w:r>
        <w:rPr>
          <w:sz w:val="24"/>
        </w:rPr>
        <w:t>1．乙方完成技术服务工作的形式：</w:t>
      </w:r>
      <w:r>
        <w:rPr>
          <w:sz w:val="24"/>
          <w:u w:val="single"/>
        </w:rPr>
        <w:t>本项工作采取分阶段评审的方式，广州市规划和自然资源局负责组织审查工作</w:t>
      </w:r>
      <w:r>
        <w:rPr>
          <w:sz w:val="24"/>
        </w:rPr>
        <w:t>。</w:t>
      </w:r>
    </w:p>
    <w:p>
      <w:pPr>
        <w:pStyle w:val="null3"/>
        <w:ind w:firstLine="480"/>
        <w:jc w:val="both"/>
      </w:pPr>
      <w:r>
        <w:rPr>
          <w:sz w:val="24"/>
        </w:rPr>
        <w:t>2．技术服务工作成果的验收标准：</w:t>
      </w:r>
      <w:r>
        <w:rPr>
          <w:sz w:val="24"/>
          <w:u w:val="single"/>
        </w:rPr>
        <w:t>符合项目任务书研究内容的要求，且通过甲方组织的专家审查会审查</w:t>
      </w:r>
      <w:r>
        <w:rPr>
          <w:sz w:val="24"/>
        </w:rPr>
        <w:t>。</w:t>
      </w:r>
    </w:p>
    <w:p>
      <w:pPr>
        <w:pStyle w:val="null3"/>
        <w:ind w:firstLine="480"/>
        <w:jc w:val="both"/>
      </w:pPr>
      <w:r>
        <w:rPr>
          <w:sz w:val="24"/>
        </w:rPr>
        <w:t>3．技术服务工作成果的验收方法：</w:t>
      </w:r>
      <w:r>
        <w:rPr>
          <w:sz w:val="24"/>
          <w:u w:val="single"/>
        </w:rPr>
        <w:t>研究成果由广州市规划和自然资源局组织审查；项目承担单位负责提供审查和验收所必须的研究成果和汇报资料</w:t>
      </w:r>
      <w:r>
        <w:rPr>
          <w:sz w:val="24"/>
        </w:rPr>
        <w:t>。</w:t>
      </w:r>
    </w:p>
    <w:p>
      <w:pPr>
        <w:pStyle w:val="null3"/>
        <w:ind w:firstLine="480"/>
        <w:jc w:val="both"/>
      </w:pPr>
      <w:r>
        <w:rPr>
          <w:sz w:val="24"/>
        </w:rPr>
        <w:t>4．验收的时间和地点：</w:t>
      </w:r>
      <w:r>
        <w:rPr>
          <w:sz w:val="24"/>
          <w:u w:val="single"/>
        </w:rPr>
        <w:t>由甲方决定</w:t>
      </w:r>
      <w:r>
        <w:rPr>
          <w:sz w:val="24"/>
        </w:rPr>
        <w:t>。</w:t>
      </w:r>
    </w:p>
    <w:p>
      <w:pPr>
        <w:pStyle w:val="null3"/>
        <w:ind w:firstLine="482"/>
        <w:jc w:val="both"/>
      </w:pPr>
      <w:r>
        <w:rPr>
          <w:sz w:val="24"/>
          <w:b/>
        </w:rPr>
        <w:t>第八条</w:t>
      </w:r>
      <w:r>
        <w:rPr>
          <w:sz w:val="24"/>
        </w:rPr>
        <w:t>：双方确定：</w:t>
      </w:r>
    </w:p>
    <w:p>
      <w:pPr>
        <w:pStyle w:val="null3"/>
        <w:ind w:firstLine="480"/>
        <w:jc w:val="both"/>
      </w:pPr>
      <w:r>
        <w:rPr>
          <w:sz w:val="24"/>
        </w:rPr>
        <w:t>1．在本合同有效期内，甲方利用乙方提交的技术服务工作成果所完成的新的技术成果，归甲方所有。</w:t>
      </w:r>
    </w:p>
    <w:p>
      <w:pPr>
        <w:pStyle w:val="null3"/>
        <w:ind w:firstLine="480"/>
        <w:jc w:val="both"/>
      </w:pPr>
      <w:r>
        <w:rPr>
          <w:sz w:val="24"/>
        </w:rPr>
        <w:t>2．在本合同有效期内，乙方利用甲方提供的技术资料和工作条件所完成的新的技术成果，归甲方所有。</w:t>
      </w:r>
    </w:p>
    <w:p>
      <w:pPr>
        <w:pStyle w:val="null3"/>
        <w:ind w:firstLine="482"/>
        <w:jc w:val="both"/>
      </w:pPr>
      <w:r>
        <w:rPr>
          <w:sz w:val="24"/>
          <w:b/>
        </w:rPr>
        <w:t>第九条</w:t>
      </w:r>
      <w:r>
        <w:rPr>
          <w:sz w:val="24"/>
        </w:rPr>
        <w:t>：双方确定，按以下约定承担各自的违约责任：</w:t>
      </w:r>
    </w:p>
    <w:p>
      <w:pPr>
        <w:pStyle w:val="null3"/>
        <w:ind w:firstLine="480"/>
        <w:jc w:val="both"/>
      </w:pPr>
      <w:r>
        <w:rPr>
          <w:sz w:val="24"/>
          <w:u w:val="single"/>
        </w:rPr>
        <w:t>1．因甲方原因，甲方未能按时提供乙方所需的基础资料和信息，以至使乙方难以按期完成各阶段工作任务，后果由甲方承担，乙方可将完成工作任务时间顺延。</w:t>
      </w:r>
    </w:p>
    <w:p>
      <w:pPr>
        <w:pStyle w:val="null3"/>
        <w:ind w:firstLine="480"/>
        <w:jc w:val="both"/>
      </w:pPr>
      <w:r>
        <w:rPr>
          <w:sz w:val="24"/>
          <w:u w:val="single"/>
        </w:rPr>
        <w:t>2．因甲方原因，甲方未能在合同规定的时间内向乙方支付合同款，每逾期一天，甲方向乙方支付预期未付金额的1%的违约金，支付违约金总金额不超合同总金额的10%。</w:t>
      </w:r>
    </w:p>
    <w:p>
      <w:pPr>
        <w:pStyle w:val="null3"/>
        <w:ind w:firstLine="480"/>
        <w:jc w:val="both"/>
      </w:pPr>
      <w:r>
        <w:rPr>
          <w:sz w:val="24"/>
          <w:u w:val="single"/>
        </w:rPr>
        <w:t>3．因乙方原因，未能在合同规定时间内向甲方交付项目成果，每逾期一天，乙方向甲方支付合同总费用1‰的违约金，支付违约金总金额不超项目总金额的10%。乙方逾期超过30天的，甲方有权解除本合同，乙方应在合同解除后  5  天内返还已收取的全部款项，并向甲方支付不超过合同总金额的 10 %的违约金。</w:t>
      </w:r>
    </w:p>
    <w:p>
      <w:pPr>
        <w:pStyle w:val="null3"/>
        <w:ind w:firstLine="480"/>
        <w:jc w:val="both"/>
      </w:pPr>
      <w:r>
        <w:rPr>
          <w:sz w:val="24"/>
          <w:u w:val="single"/>
        </w:rPr>
        <w:t>4．乙方提交项目成果不合格的，乙方应当负责无偿采取补救措施，以达到本合同约定的要求。由此造成延迟支付的，每逾期一天，乙方向甲方支付合同总费用的1‰违约金，支付违约金总金额不超过项目总金额的10%。因项目成果不符合合同约定的任何后果均由乙方承担，包括但不限于承担因此造成的直接损失赔偿责任。</w:t>
      </w:r>
    </w:p>
    <w:p>
      <w:pPr>
        <w:pStyle w:val="null3"/>
        <w:ind w:firstLine="480"/>
        <w:jc w:val="both"/>
      </w:pPr>
      <w:r>
        <w:rPr>
          <w:sz w:val="24"/>
          <w:u w:val="single"/>
        </w:rPr>
        <w:t>5．因乙方未按时提交项目成果，或者提交项目成果质量不合格的，除按本合同第九条第１点、第２点承担责任之外，所造成的其他后果也均由乙方承担。如造成本项目剩余资金被财政部门收回的，乙方同意免除甲方支付剩余款项的义务，同时乙方仍应继续按照本合同约定及任务书要求完成本项目直至通过甲方验收。否则，乙方应向甲方退回已收取的全部款项，并向甲方支付本合同总价10％的违约金。</w:t>
      </w:r>
    </w:p>
    <w:p>
      <w:pPr>
        <w:pStyle w:val="null3"/>
        <w:ind w:firstLine="482"/>
        <w:jc w:val="both"/>
      </w:pPr>
      <w:r>
        <w:rPr>
          <w:sz w:val="24"/>
          <w:b/>
        </w:rPr>
        <w:t>第十条</w:t>
      </w:r>
      <w:r>
        <w:rPr>
          <w:sz w:val="24"/>
        </w:rPr>
        <w:t>：双方确定，在本合同有效期内，甲方指定</w:t>
      </w:r>
      <w:r>
        <w:rPr>
          <w:sz w:val="24"/>
          <w:u w:val="single"/>
        </w:rPr>
        <w:t>　　　　</w:t>
      </w:r>
      <w:r>
        <w:rPr>
          <w:sz w:val="24"/>
        </w:rPr>
        <w:t>为甲方项目联系人，乙方指定</w:t>
      </w:r>
      <w:r>
        <w:rPr>
          <w:sz w:val="24"/>
          <w:u w:val="single"/>
        </w:rPr>
        <w:t>　　　　</w:t>
      </w:r>
      <w:r>
        <w:rPr>
          <w:sz w:val="24"/>
        </w:rPr>
        <w:t>为乙方项目联系人。项目联系人承担以下责任：</w:t>
      </w:r>
    </w:p>
    <w:p>
      <w:pPr>
        <w:pStyle w:val="null3"/>
        <w:ind w:firstLine="480"/>
        <w:jc w:val="both"/>
      </w:pPr>
      <w:r>
        <w:rPr>
          <w:sz w:val="24"/>
        </w:rPr>
        <w:t>1．</w:t>
      </w:r>
      <w:r>
        <w:rPr>
          <w:sz w:val="24"/>
          <w:u w:val="single"/>
        </w:rPr>
        <w:t>项目编制过程中的沟通、协调工作；</w:t>
      </w:r>
    </w:p>
    <w:p>
      <w:pPr>
        <w:pStyle w:val="null3"/>
        <w:ind w:firstLine="480"/>
        <w:jc w:val="both"/>
      </w:pPr>
      <w:r>
        <w:rPr>
          <w:sz w:val="24"/>
        </w:rPr>
        <w:t>2．</w:t>
      </w:r>
      <w:r>
        <w:rPr>
          <w:sz w:val="24"/>
          <w:u w:val="single"/>
        </w:rPr>
        <w:t>项目成果的报审、报批工作；</w:t>
      </w:r>
    </w:p>
    <w:p>
      <w:pPr>
        <w:pStyle w:val="null3"/>
        <w:ind w:firstLine="480"/>
        <w:jc w:val="both"/>
      </w:pPr>
      <w:r>
        <w:rPr>
          <w:sz w:val="24"/>
        </w:rPr>
        <w:t>3．</w:t>
      </w:r>
      <w:r>
        <w:rPr>
          <w:sz w:val="24"/>
          <w:u w:val="single"/>
        </w:rPr>
        <w:t>其他项目相关工作。</w:t>
      </w:r>
    </w:p>
    <w:p>
      <w:pPr>
        <w:pStyle w:val="null3"/>
        <w:ind w:firstLine="480"/>
        <w:jc w:val="both"/>
      </w:pPr>
      <w:r>
        <w:rPr>
          <w:sz w:val="24"/>
        </w:rPr>
        <w:t>一方变更项目联系人的，应当及时以书面形式通知另一方，未及时通知并影响本合同履行或造成损失的，应承担相应的责任。</w:t>
      </w:r>
    </w:p>
    <w:p>
      <w:pPr>
        <w:pStyle w:val="null3"/>
        <w:ind w:firstLine="482"/>
        <w:jc w:val="both"/>
      </w:pPr>
      <w:r>
        <w:rPr>
          <w:sz w:val="24"/>
          <w:b/>
        </w:rPr>
        <w:t>第十一条</w:t>
      </w:r>
      <w:r>
        <w:rPr>
          <w:sz w:val="24"/>
        </w:rPr>
        <w:t>：双方确定，出现下列情形，致使本合同的履行成为不必要或不可能的，可以解除本合同：</w:t>
      </w:r>
    </w:p>
    <w:p>
      <w:pPr>
        <w:pStyle w:val="null3"/>
        <w:ind w:firstLine="480"/>
        <w:jc w:val="both"/>
      </w:pPr>
      <w:r>
        <w:rPr>
          <w:sz w:val="24"/>
        </w:rPr>
        <w:t>1．</w:t>
      </w:r>
      <w:r>
        <w:rPr>
          <w:sz w:val="24"/>
          <w:u w:val="single"/>
        </w:rPr>
        <w:t>发生不可抗力；</w:t>
      </w:r>
    </w:p>
    <w:p>
      <w:pPr>
        <w:pStyle w:val="null3"/>
        <w:ind w:firstLine="480"/>
        <w:jc w:val="both"/>
      </w:pPr>
      <w:r>
        <w:rPr>
          <w:sz w:val="24"/>
        </w:rPr>
        <w:t>2．</w:t>
      </w:r>
      <w:r>
        <w:rPr>
          <w:sz w:val="24"/>
          <w:u w:val="single"/>
        </w:rPr>
        <w:t>履行期限满前，一方明确表示或者以自己的行为表明不履行合同的；</w:t>
      </w:r>
    </w:p>
    <w:p>
      <w:pPr>
        <w:pStyle w:val="null3"/>
        <w:ind w:firstLine="480"/>
        <w:jc w:val="both"/>
      </w:pPr>
      <w:r>
        <w:rPr>
          <w:sz w:val="24"/>
        </w:rPr>
        <w:t>3．</w:t>
      </w:r>
      <w:r>
        <w:rPr>
          <w:sz w:val="24"/>
          <w:u w:val="single"/>
        </w:rPr>
        <w:t>一方延迟履行合同，经催告后在合理期限内仍未履行合同的；</w:t>
      </w:r>
    </w:p>
    <w:p>
      <w:pPr>
        <w:pStyle w:val="null3"/>
        <w:ind w:firstLine="480"/>
        <w:jc w:val="both"/>
      </w:pPr>
      <w:r>
        <w:rPr>
          <w:sz w:val="24"/>
        </w:rPr>
        <w:t>4．</w:t>
      </w:r>
      <w:r>
        <w:rPr>
          <w:sz w:val="24"/>
          <w:u w:val="single"/>
        </w:rPr>
        <w:t>一方迟延履行或者有其它违约行为致使不能实现合同目的的。</w:t>
      </w:r>
    </w:p>
    <w:p>
      <w:pPr>
        <w:pStyle w:val="null3"/>
        <w:ind w:firstLine="482"/>
        <w:jc w:val="both"/>
      </w:pPr>
      <w:r>
        <w:rPr>
          <w:sz w:val="24"/>
          <w:b/>
        </w:rPr>
        <w:t>第十二条</w:t>
      </w:r>
      <w:r>
        <w:rPr>
          <w:sz w:val="24"/>
        </w:rPr>
        <w:t>：双方因履行本合同而发生的争议，应协商、调解解决。协商、调解不成的，确定按以下第</w:t>
      </w:r>
      <w:r>
        <w:rPr>
          <w:sz w:val="24"/>
          <w:u w:val="single"/>
        </w:rPr>
        <w:t>2</w:t>
      </w:r>
      <w:r>
        <w:rPr>
          <w:sz w:val="24"/>
        </w:rPr>
        <w:t>种方式处理：</w:t>
      </w:r>
    </w:p>
    <w:p>
      <w:pPr>
        <w:pStyle w:val="null3"/>
        <w:ind w:firstLine="480"/>
        <w:jc w:val="both"/>
      </w:pPr>
      <w:r>
        <w:rPr>
          <w:sz w:val="24"/>
        </w:rPr>
        <w:t>1．提交</w:t>
      </w:r>
      <w:r>
        <w:rPr>
          <w:sz w:val="24"/>
          <w:u w:val="single"/>
        </w:rPr>
        <w:t>中国广州</w:t>
      </w:r>
      <w:r>
        <w:rPr>
          <w:sz w:val="24"/>
        </w:rPr>
        <w:t>仲裁委员会仲裁；</w:t>
      </w:r>
    </w:p>
    <w:p>
      <w:pPr>
        <w:pStyle w:val="null3"/>
        <w:ind w:firstLine="480"/>
        <w:jc w:val="both"/>
      </w:pPr>
      <w:r>
        <w:rPr>
          <w:sz w:val="24"/>
        </w:rPr>
        <w:t>2．依法向甲方所在地人民法院起诉。</w:t>
      </w:r>
    </w:p>
    <w:p>
      <w:pPr>
        <w:pStyle w:val="null3"/>
        <w:ind w:firstLine="482"/>
        <w:jc w:val="both"/>
      </w:pPr>
      <w:r>
        <w:rPr>
          <w:sz w:val="24"/>
          <w:b/>
        </w:rPr>
        <w:t>第十三条</w:t>
      </w:r>
      <w:r>
        <w:rPr>
          <w:sz w:val="24"/>
        </w:rPr>
        <w:t>：双方确定：本合同及相关附件中所涉及的有关名词和技术术语，其定义和解释如下：</w:t>
      </w:r>
    </w:p>
    <w:p>
      <w:pPr>
        <w:pStyle w:val="null3"/>
        <w:ind w:firstLine="480"/>
        <w:jc w:val="both"/>
      </w:pPr>
      <w:r>
        <w:rPr>
          <w:sz w:val="24"/>
        </w:rPr>
        <w:t>1．</w:t>
      </w:r>
      <w:r>
        <w:rPr>
          <w:sz w:val="24"/>
          <w:u w:val="single"/>
        </w:rPr>
        <w:t>无。</w:t>
      </w:r>
    </w:p>
    <w:p>
      <w:pPr>
        <w:pStyle w:val="null3"/>
        <w:ind w:firstLine="482"/>
        <w:jc w:val="both"/>
      </w:pPr>
      <w:r>
        <w:rPr>
          <w:sz w:val="24"/>
          <w:b/>
        </w:rPr>
        <w:t>第十四条</w:t>
      </w:r>
      <w:r>
        <w:rPr>
          <w:sz w:val="24"/>
        </w:rPr>
        <w:t>：双方约定本合同其他相关事项为：</w:t>
      </w:r>
    </w:p>
    <w:p>
      <w:pPr>
        <w:pStyle w:val="null3"/>
        <w:ind w:firstLine="480"/>
        <w:jc w:val="both"/>
      </w:pPr>
      <w:r>
        <w:rPr>
          <w:sz w:val="24"/>
        </w:rPr>
        <w:t>1.</w:t>
      </w:r>
      <w:r>
        <w:rPr>
          <w:sz w:val="24"/>
          <w:u w:val="single"/>
        </w:rPr>
        <w:t>本合同未尽事宜，双方应本着友好合作的原则，另行商议并写入补充条款。所有修改或补充条款都视为本合同的组成部分，具有与其它条款同等的法律效力。</w:t>
      </w:r>
    </w:p>
    <w:p>
      <w:pPr>
        <w:pStyle w:val="null3"/>
        <w:ind w:firstLine="480"/>
        <w:jc w:val="both"/>
      </w:pPr>
      <w:r>
        <w:rPr>
          <w:sz w:val="24"/>
        </w:rPr>
        <w:t>2</w:t>
      </w:r>
      <w:r>
        <w:rPr>
          <w:sz w:val="24"/>
          <w:u w:val="single"/>
        </w:rPr>
        <w:t>.因甲方原因，甲方未能按时提供乙方所需的基础资料和信息，以至使乙方难以按期完成各阶段工作任务，后果由甲方承担，乙方可将完成工作任务时间顺延。</w:t>
      </w:r>
    </w:p>
    <w:p>
      <w:pPr>
        <w:pStyle w:val="null3"/>
        <w:ind w:firstLine="480"/>
        <w:jc w:val="both"/>
      </w:pPr>
      <w:r>
        <w:rPr>
          <w:sz w:val="24"/>
          <w:u w:val="single"/>
        </w:rPr>
        <w:t>3.乙方需配合甲方派驻场服务人员1~2名，驻场服务人员所需办公设备费用由乙方承担。</w:t>
      </w:r>
    </w:p>
    <w:p>
      <w:pPr>
        <w:pStyle w:val="null3"/>
        <w:ind w:firstLine="480"/>
        <w:jc w:val="both"/>
      </w:pPr>
      <w:r>
        <w:rPr>
          <w:sz w:val="24"/>
          <w:u w:val="single"/>
        </w:rPr>
        <w:t>4.乙方不得对整个项目进行转包，不得进行分包。</w:t>
      </w:r>
    </w:p>
    <w:p>
      <w:pPr>
        <w:pStyle w:val="null3"/>
        <w:ind w:firstLine="482"/>
        <w:jc w:val="both"/>
      </w:pPr>
      <w:r>
        <w:rPr>
          <w:sz w:val="24"/>
          <w:b/>
        </w:rPr>
        <w:t>第十五条</w:t>
      </w:r>
      <w:r>
        <w:rPr>
          <w:sz w:val="24"/>
        </w:rPr>
        <w:t>：本合同一式</w:t>
      </w:r>
      <w:r>
        <w:rPr>
          <w:sz w:val="24"/>
          <w:u w:val="single"/>
        </w:rPr>
        <w:t xml:space="preserve">柒 </w:t>
      </w:r>
      <w:r>
        <w:rPr>
          <w:sz w:val="24"/>
        </w:rPr>
        <w:t>份，甲乙双方各执</w:t>
      </w:r>
      <w:r>
        <w:rPr>
          <w:sz w:val="24"/>
          <w:u w:val="single"/>
        </w:rPr>
        <w:t xml:space="preserve">叁 </w:t>
      </w:r>
      <w:r>
        <w:rPr>
          <w:sz w:val="24"/>
        </w:rPr>
        <w:t>份，采购代理机构壹份，具有同等法律效力。</w:t>
      </w:r>
    </w:p>
    <w:p>
      <w:pPr>
        <w:pStyle w:val="null3"/>
        <w:ind w:firstLine="482"/>
        <w:jc w:val="both"/>
      </w:pPr>
      <w:r>
        <w:rPr>
          <w:sz w:val="24"/>
          <w:b/>
        </w:rPr>
        <w:t>第十六条</w:t>
      </w:r>
      <w:r>
        <w:rPr>
          <w:sz w:val="24"/>
        </w:rPr>
        <w:t>：本合同经双方签字盖章后生效。</w:t>
      </w:r>
    </w:p>
    <w:p>
      <w:pPr>
        <w:pStyle w:val="null3"/>
        <w:ind w:firstLine="480"/>
        <w:jc w:val="both"/>
      </w:pPr>
      <w:r>
        <w:rPr>
          <w:sz w:val="24"/>
        </w:rPr>
        <w:t>甲方：</w:t>
      </w:r>
      <w:r>
        <w:rPr>
          <w:sz w:val="24"/>
          <w:u w:val="single"/>
        </w:rPr>
        <w:t>广州市规划和自然资源局（盖章）</w:t>
      </w:r>
    </w:p>
    <w:p>
      <w:pPr>
        <w:pStyle w:val="null3"/>
        <w:ind w:firstLine="480"/>
        <w:jc w:val="both"/>
      </w:pPr>
      <w:r>
        <w:rPr>
          <w:sz w:val="24"/>
        </w:rPr>
        <w:t>法定代表人／委托代理人：</w:t>
      </w:r>
      <w:r>
        <w:rPr>
          <w:sz w:val="24"/>
          <w:u w:val="single"/>
        </w:rPr>
        <w:t>　　　　　　　　（签名）</w:t>
      </w:r>
      <w:r>
        <w:rPr>
          <w:sz w:val="24"/>
        </w:rPr>
        <w:t>　</w:t>
      </w:r>
    </w:p>
    <w:p>
      <w:pPr>
        <w:pStyle w:val="null3"/>
        <w:ind w:firstLine="1145"/>
        <w:jc w:val="both"/>
      </w:pPr>
      <w:r>
        <w:rPr>
          <w:sz w:val="24"/>
        </w:rPr>
        <w:t>年    月    日</w:t>
      </w:r>
    </w:p>
    <w:p>
      <w:pPr>
        <w:pStyle w:val="null3"/>
        <w:ind w:firstLine="480"/>
        <w:jc w:val="both"/>
      </w:pPr>
      <w:r>
        <w:rPr>
          <w:sz w:val="24"/>
        </w:rPr>
        <w:t>乙方：</w:t>
      </w:r>
      <w:r>
        <w:rPr>
          <w:sz w:val="24"/>
          <w:u w:val="single"/>
        </w:rPr>
        <w:t>（盖章）</w:t>
      </w:r>
    </w:p>
    <w:p>
      <w:pPr>
        <w:pStyle w:val="null3"/>
        <w:ind w:firstLine="480"/>
        <w:jc w:val="both"/>
      </w:pPr>
      <w:r>
        <w:rPr>
          <w:sz w:val="24"/>
        </w:rPr>
        <w:t>法定代表人／委托代理人：</w:t>
      </w:r>
      <w:r>
        <w:rPr>
          <w:sz w:val="24"/>
          <w:u w:val="single"/>
        </w:rPr>
        <w:t>　　　　　　　　（签名）</w:t>
      </w:r>
    </w:p>
    <w:p>
      <w:pPr>
        <w:pStyle w:val="null3"/>
        <w:ind w:firstLine="1145"/>
        <w:jc w:val="both"/>
      </w:pPr>
      <w:r>
        <w:rPr>
          <w:sz w:val="24"/>
        </w:rPr>
        <w:t>年    月    日</w:t>
      </w:r>
    </w:p>
    <w:p>
      <w:pPr>
        <w:pStyle w:val="null3"/>
        <w:ind w:firstLine="1145"/>
        <w:jc w:val="both"/>
      </w:pPr>
      <w:r>
        <w:rPr/>
        <w:t xml:space="preserve"> </w:t>
      </w:r>
    </w:p>
    <w:p>
      <w:pPr>
        <w:pStyle w:val="null3"/>
        <w:ind w:firstLine="1145"/>
        <w:jc w:val="both"/>
      </w:pPr>
      <w:r>
        <w:rPr/>
        <w:t xml:space="preserve"> </w:t>
      </w:r>
    </w:p>
    <w:p>
      <w:pPr>
        <w:pStyle w:val="null3"/>
        <w:ind w:firstLine="1145"/>
        <w:jc w:val="both"/>
      </w:pPr>
      <w:r>
        <w:rPr/>
        <w:t xml:space="preserve"> </w:t>
      </w:r>
    </w:p>
    <w:p>
      <w:pPr>
        <w:pStyle w:val="null3"/>
        <w:ind w:firstLine="1145"/>
        <w:jc w:val="both"/>
      </w:pPr>
      <w:r>
        <w:rPr/>
        <w:t xml:space="preserve"> </w:t>
      </w:r>
    </w:p>
    <w:p>
      <w:pPr>
        <w:pStyle w:val="null3"/>
        <w:ind w:firstLine="1145"/>
        <w:jc w:val="both"/>
      </w:pPr>
      <w:r>
        <w:rPr/>
        <w:t xml:space="preserve"> </w:t>
      </w:r>
    </w:p>
    <w:p>
      <w:pPr>
        <w:pStyle w:val="null3"/>
        <w:ind w:firstLine="480"/>
        <w:jc w:val="both"/>
      </w:pPr>
      <w:r>
        <w:rPr>
          <w:sz w:val="24"/>
        </w:rPr>
        <w:t>印花税票粘贴处：</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（以下由技术合同登记机构填写）</w:t>
      </w:r>
    </w:p>
    <w:p>
      <w:pPr>
        <w:pStyle w:val="null3"/>
        <w:ind w:firstLine="480"/>
        <w:jc w:val="both"/>
      </w:pPr>
      <w:r>
        <w:rPr>
          <w:sz w:val="24"/>
        </w:rPr>
        <w:t>合同登记编号：</w:t>
      </w:r>
    </w:p>
    <w:tbl>
      <w:tblPr>
        <w:tblW w:w="0" w:type="auto"/>
        <w:tblBorders>
          <w:top w:val="none" w:color="000000" w:sz="4"/>
          <w:left w:val="none" w:color="000000" w:sz="4"/>
          <w:bottom w:val="none" w:color="000000" w:sz="4"/>
          <w:right w:val="none" w:color="000000" w:sz="4"/>
          <w:insideH w:val="none"/>
          <w:insideV w:val="none"/>
        </w:tblBorders>
      </w:tblPr>
      <w:tblGrid>
        <w:gridCol w:w="409"/>
        <w:gridCol w:w="421"/>
        <w:gridCol w:w="421"/>
        <w:gridCol w:w="409"/>
        <w:gridCol w:w="409"/>
        <w:gridCol w:w="409"/>
        <w:gridCol w:w="397"/>
        <w:gridCol w:w="445"/>
        <w:gridCol w:w="445"/>
        <w:gridCol w:w="409"/>
        <w:gridCol w:w="409"/>
        <w:gridCol w:w="409"/>
        <w:gridCol w:w="397"/>
        <w:gridCol w:w="421"/>
        <w:gridCol w:w="421"/>
        <w:gridCol w:w="421"/>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1．申请登记人：</w:t>
      </w:r>
    </w:p>
    <w:p>
      <w:pPr>
        <w:pStyle w:val="null3"/>
        <w:ind w:firstLine="480"/>
        <w:jc w:val="both"/>
      </w:pPr>
      <w:r>
        <w:rPr>
          <w:sz w:val="24"/>
        </w:rPr>
        <w:t>2．登记材料：（1）</w:t>
      </w:r>
    </w:p>
    <w:p>
      <w:pPr>
        <w:pStyle w:val="null3"/>
        <w:ind w:firstLine="480"/>
        <w:jc w:val="both"/>
      </w:pPr>
      <w:r>
        <w:rPr>
          <w:sz w:val="24"/>
        </w:rPr>
        <w:t>（2）</w:t>
      </w:r>
    </w:p>
    <w:p>
      <w:pPr>
        <w:pStyle w:val="null3"/>
        <w:ind w:firstLine="480"/>
        <w:jc w:val="both"/>
      </w:pPr>
      <w:r>
        <w:rPr>
          <w:sz w:val="24"/>
        </w:rPr>
        <w:t>（3）</w:t>
      </w:r>
    </w:p>
    <w:p>
      <w:pPr>
        <w:pStyle w:val="null3"/>
        <w:ind w:firstLine="480"/>
        <w:jc w:val="both"/>
      </w:pPr>
      <w:r>
        <w:rPr>
          <w:sz w:val="24"/>
        </w:rPr>
        <w:t>3．合同类型：</w:t>
      </w:r>
    </w:p>
    <w:p>
      <w:pPr>
        <w:pStyle w:val="null3"/>
        <w:ind w:firstLine="480"/>
        <w:jc w:val="both"/>
      </w:pPr>
      <w:r>
        <w:rPr>
          <w:sz w:val="24"/>
        </w:rPr>
        <w:t>4．合同交易额：</w:t>
      </w:r>
    </w:p>
    <w:p>
      <w:pPr>
        <w:pStyle w:val="null3"/>
        <w:ind w:firstLine="480"/>
        <w:jc w:val="both"/>
      </w:pPr>
      <w:r>
        <w:rPr>
          <w:sz w:val="24"/>
        </w:rPr>
        <w:t>5．技术交易额：</w:t>
      </w:r>
    </w:p>
    <w:p>
      <w:pPr>
        <w:pStyle w:val="null3"/>
        <w:ind w:firstLine="480"/>
        <w:jc w:val="both"/>
      </w:pPr>
      <w:r>
        <w:rPr>
          <w:sz w:val="24"/>
        </w:rPr>
        <w:t xml:space="preserve">技术合同登记机构（印章） </w:t>
      </w:r>
    </w:p>
    <w:p>
      <w:pPr>
        <w:pStyle w:val="null3"/>
        <w:ind w:firstLine="480"/>
        <w:jc w:val="right"/>
      </w:pPr>
      <w:r>
        <w:rPr>
          <w:sz w:val="24"/>
        </w:rPr>
        <w:t xml:space="preserve">经办人：   </w:t>
      </w:r>
    </w:p>
    <w:p>
      <w:pPr>
        <w:pStyle w:val="null3"/>
        <w:ind w:firstLine="480"/>
        <w:jc w:val="right"/>
      </w:pPr>
      <w:r>
        <w:rPr>
          <w:sz w:val="24"/>
        </w:rPr>
        <w:t>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440101-2025-02022</w:t>
      </w:r>
    </w:p>
    <w:p>
      <w:pPr>
        <w:pStyle w:val="null3"/>
        <w:jc w:val="center"/>
        <w:outlineLvl w:val="3"/>
      </w:pPr>
      <w:r>
        <w:rPr>
          <w:sz w:val="24"/>
          <w:b/>
        </w:rPr>
        <w:t>采购项目编号：</w:t>
      </w:r>
      <w:r>
        <w:rPr>
          <w:sz w:val="24"/>
          <w:b/>
        </w:rPr>
        <w:t>GZCQC2500FG010060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城维计划-综合交通规划编制经费（子项10：2025年市级重点交通项目前期研究及主骨架道路、轨道规划及维护）</w:t>
      </w:r>
      <w:r>
        <w:rPr>
          <w:u w:val="single"/>
        </w:rPr>
        <w:t>”</w:t>
      </w:r>
      <w:r>
        <w:rPr/>
        <w:t>项目的招标[采购项目编号为：</w:t>
      </w:r>
      <w:r>
        <w:rPr>
          <w:u w:val="single"/>
        </w:rPr>
        <w:t>GZCQC2500FG010060</w:t>
      </w:r>
      <w:r>
        <w:rPr/>
        <w:t>]，我方愿参与投标。</w:t>
      </w:r>
    </w:p>
    <w:p>
      <w:pPr>
        <w:pStyle w:val="null3"/>
        <w:ind w:firstLine="480"/>
      </w:pPr>
      <w:r>
        <w:rPr/>
        <w:t>我方确认收到贵方提供的</w:t>
      </w:r>
      <w:r>
        <w:rPr>
          <w:u w:val="single"/>
        </w:rPr>
        <w:t>“</w:t>
      </w:r>
      <w:r>
        <w:rPr>
          <w:u w:val="single"/>
        </w:rPr>
        <w:t>城维计划-综合交通规划编制经费（子项10：2025年市级重点交通项目前期研究及主骨架道路、轨道规划及维护）</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城维计划-综合交通规划编制经费（子项10：2025年市级重点交通项目前期研究及主骨架道路、轨道规划及维护）</w:t>
      </w:r>
      <w:r>
        <w:rPr/>
        <w:t>”项目采购[采购项目编号为</w:t>
      </w:r>
      <w:r>
        <w:rPr/>
        <w:t>GZCQC2500FG010060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广州市规划和自然资源局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城维计划-综合交通规划编制经费（子项10：2025年市级重点交通项目前期研究及主骨架道路、轨道规划及维护）</w:t>
      </w:r>
      <w:r>
        <w:rPr/>
        <w:t>招标中获中标（采购项目编号：</w:t>
      </w:r>
      <w:r>
        <w:rPr/>
        <w:t>GZCQC2500FG010060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