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440101-2025-01948</w:t>
      </w:r>
    </w:p>
    <w:p>
      <w:pPr>
        <w:pStyle w:val="null3"/>
        <w:jc w:val="center"/>
        <w:outlineLvl w:val="3"/>
      </w:pPr>
      <w:r>
        <w:rPr>
          <w:sz w:val="24"/>
          <w:b/>
        </w:rPr>
        <w:t>采购项目编号：</w:t>
      </w:r>
      <w:r>
        <w:rPr>
          <w:sz w:val="24"/>
          <w:b/>
        </w:rPr>
        <w:t>GZCQC2500FG01008</w:t>
      </w:r>
    </w:p>
    <w:p>
      <w:pPr>
        <w:pStyle w:val="null3"/>
        <w:jc w:val="center"/>
        <w:outlineLvl w:val="3"/>
      </w:pPr>
      <w:r>
        <w:rPr>
          <w:sz w:val="24"/>
          <w:b/>
        </w:rPr>
        <w:t>项目名称：</w:t>
      </w:r>
      <w:r>
        <w:rPr>
          <w:sz w:val="24"/>
          <w:b/>
        </w:rPr>
        <w:t>城维计划-综合交通规划编制经费（子项11：广州市城市风貌构件方案设计和集采标准）</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城维计划-综合交通规划编制经费（子项11：广州市城市风貌构件方案设计和集采标准）</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城维计划-综合交通规划编制经费（子项11：广州市城市风貌构件方案设计和集采标准）</w:t>
      </w:r>
    </w:p>
    <w:p>
      <w:pPr>
        <w:pStyle w:val="null3"/>
        <w:ind w:firstLine="480"/>
      </w:pPr>
      <w:r>
        <w:rPr/>
        <w:t>采购计划编号：</w:t>
      </w:r>
      <w:r>
        <w:rPr/>
        <w:t>440101-2025-01948</w:t>
      </w:r>
    </w:p>
    <w:p>
      <w:pPr>
        <w:pStyle w:val="null3"/>
        <w:ind w:firstLine="480"/>
      </w:pPr>
      <w:r>
        <w:rPr/>
        <w:t>采购项目编号：</w:t>
      </w:r>
      <w:r>
        <w:rPr/>
        <w:t>GZCQC2500FG01008</w:t>
      </w:r>
    </w:p>
    <w:p>
      <w:pPr>
        <w:pStyle w:val="null3"/>
        <w:ind w:firstLine="480"/>
      </w:pPr>
      <w:r>
        <w:rPr/>
        <w:t>采购方式：</w:t>
      </w:r>
      <w:r>
        <w:rPr/>
        <w:t>公开招标</w:t>
      </w:r>
    </w:p>
    <w:p>
      <w:pPr>
        <w:pStyle w:val="null3"/>
        <w:ind w:firstLine="480"/>
      </w:pPr>
      <w:r>
        <w:rPr/>
        <w:t>预算金额：</w:t>
      </w:r>
      <w:r>
        <w:rPr/>
        <w:t>2,300,000.00</w:t>
      </w:r>
      <w:r>
        <w:rPr/>
        <w:t>元</w:t>
      </w:r>
    </w:p>
    <w:p>
      <w:pPr>
        <w:pStyle w:val="null3"/>
        <w:outlineLvl w:val="3"/>
      </w:pPr>
      <w:r>
        <w:rPr>
          <w:sz w:val="24"/>
          <w:b/>
        </w:rPr>
        <w:t>2.项目内容及需求情况（采购项目技术规格、参数及要求）</w:t>
      </w:r>
    </w:p>
    <w:p>
      <w:pPr>
        <w:pStyle w:val="null3"/>
      </w:pPr>
      <w:r>
        <w:rPr/>
        <w:t>采购包1(城维计划-综合交通规划编制经费（子项11：广州市城市风貌构件方案设计和集采标准）):</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城维计划-综合交通规划编制经费（子项11：广州市城市风貌构件方案设计和集采标准）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合同履行期限：本项目编制期限为自采购人与中标人双方签订合同之日起至2026年12月31日完成。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采购包1（城维计划-综合交通规划编制经费（子项11：广州市城市风貌构件方案设计和集采标准））：</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采购包1（城维计划-综合交通规划编制经费（子项11：广州市城市风貌构件方案设计和集采标准））：</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020-83379611</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411"/>
        <w:gridCol w:w="1025"/>
        <w:gridCol w:w="3870"/>
      </w:tblGrid>
      <w:tr>
        <w:tc>
          <w:tcPr>
            <w:tcW w:type="dxa" w:w="34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8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（人民币/元）</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城维计划-综合交通规划编制经费（子项11：广州市城市风貌构件方案设计和集采标准）</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2,300,000.00（其中2025年预算安排人民币1,380,000.00元，2026年预算拟安排人民币920,000.00元，具体以财政局批复下达的资金为准。）</w:t>
            </w:r>
          </w:p>
        </w:tc>
      </w:tr>
    </w:tbl>
    <w:p>
      <w:pPr>
        <w:pStyle w:val="null3"/>
        <w:ind w:firstLine="480"/>
        <w:jc w:val="both"/>
      </w:pPr>
      <w:r>
        <w:rPr/>
        <w:t>采购包1（城维计划-综合交通规划编制经费（子项11：广州市城市风貌构件方案设计和集采标准））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本项目编制期限为自采购人与中标人双方签订合同之日起至2026年1月31日完成。</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第1期为(预付款)：支付比例40%，签订合同后，采购人自收到发票后5个工作日内向中标人支付本项目合同总金额的40%。预计在2025年3月31日前支付第一期费用。</w:t>
            </w:r>
          </w:p>
          <w:p>
            <w:pPr>
              <w:pStyle w:val="null3"/>
            </w:pPr>
            <w:r>
              <w:rPr/>
              <w:t>第2期为(进度款)：支付比例20%，2025年9月30日前，中标人按期完成规划成果，并通过专家评审后申请拨付合同经费，合同总金额的20%。预计在2025年9月30日前支付第二期费用。</w:t>
            </w:r>
          </w:p>
          <w:p>
            <w:pPr>
              <w:pStyle w:val="null3"/>
            </w:pPr>
            <w:r>
              <w:rPr/>
              <w:t>第3期为(尾款)：支付比例40%，2025年12月31日前，中标人根据采购人审查意见修改规划成果。最终成果经采购人验收通过并出具结题函，待成果归档后申请拨付合同经费，合同总金额的40%。预计在2026年1月31日前支付第三期费用。 注： （1）对于满足合同支付条件的，采购人原则上应当在收到发票后5个工作日内按照《广州市本级财政直接支付用款申请办事指南》办理支付手续。 （2）每次按合同支付款项前，中标人应向采购人提供与支付金额相符的有效发票，且收款方、出具发票方、合同乙方均必须与中标人名称一致。 （3）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1.中标人完成技术服务工作的形式：本项工作采取分阶段评审的方式，广州市规划和自然资源局负责组织审查工作。 2.技术服务工作成果的验收标准：符合项目任务书研究内容的要求，且通过采购人组织的专家审查会审查。 3.技术服务工作成果的验收方法：研究成果由广州市规划和自然资源局组织审查；项目承担单位负责提供审查和验收所必须的研究成果和汇报资料。 4.验收的时间和地点：由采购人决定。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城维计划-综合交通规划编制经费（子项11：广州市城市风貌构件方案设计和集采标准）</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2,300,000.00</w:t>
            </w:r>
          </w:p>
        </w:tc>
        <w:tc>
          <w:tcPr>
            <w:tcW w:type="dxa" w:w="933"/>
          </w:tcPr>
          <w:p>
            <w:pPr>
              <w:pStyle w:val="null3"/>
              <w:jc w:val="right"/>
            </w:pPr>
            <w:r>
              <w:rPr/>
              <w:t>2,300,000.00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城维计划-综合交通规划编制经费（子项11：广州市城市风貌构件方案设计和集采标准）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一、项目背景</w:t>
            </w:r>
          </w:p>
          <w:p>
            <w:pPr>
              <w:pStyle w:val="null3"/>
              <w:ind w:firstLine="480"/>
              <w:jc w:val="both"/>
            </w:pPr>
            <w:r>
              <w:rPr>
                <w:sz w:val="24"/>
                <w:color w:val="000000"/>
              </w:rPr>
              <w:t>城市品质是城市外在形象和内在精神的有机统一，是事关城市功能的发挥、民生福祉的增进和城市形象的彰显，事关城市吸引力、影响力和竞争力。其中，城市风貌构件（简称“构件”）指城市公共空间中视野可及、使用率高、政府出资建设的各类风貌构件，是构成城市整体风貌品质的重要元素。</w:t>
            </w:r>
          </w:p>
          <w:p>
            <w:pPr>
              <w:pStyle w:val="null3"/>
              <w:ind w:firstLine="480"/>
              <w:jc w:val="both"/>
            </w:pPr>
            <w:r>
              <w:rPr>
                <w:sz w:val="24"/>
                <w:color w:val="000000"/>
              </w:rPr>
              <w:t>2024</w:t>
            </w:r>
            <w:r>
              <w:rPr>
                <w:sz w:val="24"/>
                <w:color w:val="000000"/>
              </w:rPr>
              <w:t>年9月，国务院批复《广州市国土空间总体规划（2021—2035年）》，赋予广州“广东省省会、我国重要的中心城市、国家历史文化名城、彰显海洋特色的现代化城市、国际性综合交通枢纽城市、科技教育文化中心”的城市性质，要求广州发挥“国际商贸中心、全国先进制造业基地、全国综合性门户、国际科技创新中心重要承载地”的核心功能，建设“美丽宜居花城、活力全球城市”，打造具有经典魅力和时代活力的中心型世界城市，明确加快实施精细化、品质化行动计划，改善人居环境。</w:t>
            </w:r>
          </w:p>
          <w:p>
            <w:pPr>
              <w:pStyle w:val="null3"/>
              <w:ind w:firstLine="480"/>
              <w:jc w:val="both"/>
            </w:pPr>
            <w:r>
              <w:rPr>
                <w:sz w:val="24"/>
                <w:color w:val="000000"/>
              </w:rPr>
              <w:t>2024</w:t>
            </w:r>
            <w:r>
              <w:rPr>
                <w:sz w:val="24"/>
                <w:color w:val="000000"/>
              </w:rPr>
              <w:t>年3月，广州城市品质提升小组印发《广州城市品质提升工作实施方案（2023—2025年）》，要求着力在城市品质精细化、品质化、高质量上下功夫，实现“活力湾区，新彩广州”，助力“老城市新活力”。</w:t>
            </w:r>
          </w:p>
          <w:p>
            <w:pPr>
              <w:pStyle w:val="null3"/>
              <w:ind w:firstLine="480"/>
              <w:jc w:val="left"/>
            </w:pPr>
            <w:r>
              <w:rPr>
                <w:sz w:val="24"/>
                <w:color w:val="000000"/>
              </w:rPr>
              <w:t>为深入贯彻总</w:t>
            </w:r>
            <w:r>
              <w:rPr>
                <w:sz w:val="24"/>
                <w:color w:val="FFFFFF"/>
              </w:rPr>
              <w:t>一</w:t>
            </w:r>
            <w:r>
              <w:rPr>
                <w:sz w:val="24"/>
                <w:color w:val="000000"/>
              </w:rPr>
              <w:t>书记对广州重要讲话和重要指示批示精神，贯彻落实党的二十届三中</w:t>
            </w:r>
            <w:r>
              <w:rPr>
                <w:sz w:val="24"/>
                <w:color w:val="FFFFFF"/>
              </w:rPr>
              <w:t>一</w:t>
            </w:r>
            <w:r>
              <w:rPr>
                <w:sz w:val="24"/>
                <w:color w:val="000000"/>
              </w:rPr>
              <w:t>全会提出的“全面提高城乡规划、建设、治理融合水平”，按照省和市的工作部署，落实国土空间规划要求，提高城市风貌构件的优化管控水平，推动广州整体风貌品质提升和长效管理，打造中心型世界城市品牌，开展《城维计划-综合交通编制经费（子项11：广州市城市风貌构件方案设计和集采标准》技术服务。</w:t>
            </w:r>
          </w:p>
        </w:tc>
      </w:tr>
      <w:tr>
        <w:tc>
          <w:tcPr>
            <w:tcW w:type="dxa" w:w="2076"/>
          </w:tcPr>
          <w:p/>
        </w:tc>
        <w:tc>
          <w:tcPr>
            <w:tcW w:type="dxa" w:w="415"/>
          </w:tcPr>
          <w:p>
            <w:pPr>
              <w:pStyle w:val="null3"/>
            </w:pPr>
            <w:r>
              <w:rPr/>
              <w:t>2</w:t>
            </w:r>
          </w:p>
        </w:tc>
        <w:tc>
          <w:tcPr>
            <w:tcW w:type="dxa" w:w="5814"/>
          </w:tcPr>
          <w:p>
            <w:pPr>
              <w:pStyle w:val="null3"/>
              <w:jc w:val="both"/>
            </w:pPr>
            <w:r>
              <w:rPr>
                <w:sz w:val="24"/>
                <w:b/>
              </w:rPr>
              <w:t>二、项目采购、编制范围、期限及深度</w:t>
            </w:r>
          </w:p>
          <w:p>
            <w:pPr>
              <w:pStyle w:val="null3"/>
              <w:ind w:firstLine="482"/>
              <w:jc w:val="both"/>
            </w:pPr>
            <w:r>
              <w:rPr>
                <w:sz w:val="24"/>
                <w:b/>
              </w:rPr>
              <w:t>1、项目采购</w:t>
            </w:r>
          </w:p>
          <w:p>
            <w:pPr>
              <w:pStyle w:val="null3"/>
              <w:ind w:firstLine="480"/>
              <w:jc w:val="both"/>
            </w:pPr>
            <w:r>
              <w:rPr>
                <w:sz w:val="24"/>
              </w:rPr>
              <w:t>广州市规划和自然资源局作为本次项目采购人，经公开招标后选定中标单位作为中标人，接受任务委托，承担本次项目的编制工作。</w:t>
            </w:r>
          </w:p>
          <w:p>
            <w:pPr>
              <w:pStyle w:val="null3"/>
              <w:ind w:firstLine="482"/>
              <w:jc w:val="both"/>
            </w:pPr>
            <w:r>
              <w:rPr>
                <w:sz w:val="24"/>
                <w:b/>
              </w:rPr>
              <w:t>2、编制范围</w:t>
            </w:r>
          </w:p>
          <w:p>
            <w:pPr>
              <w:pStyle w:val="null3"/>
              <w:ind w:firstLine="480"/>
              <w:jc w:val="both"/>
            </w:pPr>
            <w:r>
              <w:rPr>
                <w:sz w:val="24"/>
              </w:rPr>
              <w:t>本项目编制范围为广州市市域范围。</w:t>
            </w:r>
          </w:p>
          <w:p>
            <w:pPr>
              <w:pStyle w:val="null3"/>
              <w:ind w:firstLine="482"/>
              <w:jc w:val="both"/>
            </w:pPr>
            <w:r>
              <w:rPr>
                <w:sz w:val="24"/>
                <w:b/>
              </w:rPr>
              <w:t>3、编制期限</w:t>
            </w:r>
          </w:p>
          <w:p>
            <w:pPr>
              <w:pStyle w:val="null3"/>
              <w:ind w:firstLine="480"/>
              <w:jc w:val="both"/>
            </w:pPr>
            <w:r>
              <w:rPr>
                <w:sz w:val="24"/>
              </w:rPr>
              <w:t>本项目编制期限为自采购人与中标人双方签订合同之日起至2026年1月31日完成。</w:t>
            </w:r>
          </w:p>
          <w:p>
            <w:pPr>
              <w:pStyle w:val="null3"/>
              <w:ind w:firstLine="482"/>
              <w:jc w:val="both"/>
            </w:pPr>
            <w:r>
              <w:rPr>
                <w:sz w:val="24"/>
                <w:b/>
              </w:rPr>
              <w:t>4、编制深度</w:t>
            </w:r>
          </w:p>
          <w:p>
            <w:pPr>
              <w:pStyle w:val="null3"/>
              <w:ind w:firstLine="480"/>
              <w:jc w:val="both"/>
            </w:pPr>
            <w:r>
              <w:rPr>
                <w:sz w:val="24"/>
              </w:rPr>
              <w:t>项目核心成果包括构件设计方案和构件建设标准，其中构件设计方案应达到专项规划研究深度，构件建设标准应达到施工图深度，满足广州市财政投资项目（工程领域）材料及构配件集中采购要求。</w:t>
            </w:r>
          </w:p>
          <w:p>
            <w:pPr>
              <w:pStyle w:val="null3"/>
              <w:ind w:firstLine="482"/>
              <w:jc w:val="both"/>
            </w:pPr>
            <w:r>
              <w:rPr>
                <w:sz w:val="24"/>
                <w:b/>
              </w:rPr>
              <w:t>5、编制目标</w:t>
            </w:r>
          </w:p>
          <w:p>
            <w:pPr>
              <w:pStyle w:val="null3"/>
              <w:ind w:firstLine="480"/>
              <w:jc w:val="both"/>
            </w:pPr>
            <w:r>
              <w:rPr>
                <w:sz w:val="24"/>
              </w:rPr>
              <w:t>（1）充分利用城市风貌构件标准改革创新的机遇，加强精细化管理，提升广州城市形象。</w:t>
            </w:r>
          </w:p>
          <w:p>
            <w:pPr>
              <w:pStyle w:val="null3"/>
              <w:ind w:firstLine="480"/>
              <w:jc w:val="both"/>
            </w:pPr>
            <w:r>
              <w:rPr>
                <w:sz w:val="24"/>
              </w:rPr>
              <w:t>（2）形成国内外先进城市调研报告，为广州构件优化提供先进经验。</w:t>
            </w:r>
          </w:p>
          <w:p>
            <w:pPr>
              <w:pStyle w:val="null3"/>
              <w:ind w:firstLine="480"/>
              <w:jc w:val="both"/>
            </w:pPr>
            <w:r>
              <w:rPr>
                <w:sz w:val="24"/>
              </w:rPr>
              <w:t>（3）形成广州市城市风貌构件清单和建设标准，推动构件标准化、模块化、模数化，实现提质、增效、降本，支撑第十五届全运会系列提升工程、城市重点片区建设、城市更新等工作，高标准提升城市风貌品质。</w:t>
            </w:r>
          </w:p>
          <w:p>
            <w:pPr>
              <w:pStyle w:val="null3"/>
              <w:ind w:firstLine="480"/>
              <w:jc w:val="both"/>
            </w:pPr>
            <w:r>
              <w:rPr>
                <w:sz w:val="24"/>
              </w:rPr>
              <w:t>（4）形成全流程实施模式，建立健全城市风貌构件集采机制和管理体制，推动构件有序实施、长效管理和品牌推广，为相关部门组织实施提供参考。</w:t>
            </w:r>
          </w:p>
        </w:tc>
      </w:tr>
      <w:tr>
        <w:tc>
          <w:tcPr>
            <w:tcW w:type="dxa" w:w="2076"/>
          </w:tcPr>
          <w:p/>
        </w:tc>
        <w:tc>
          <w:tcPr>
            <w:tcW w:type="dxa" w:w="415"/>
          </w:tcPr>
          <w:p>
            <w:pPr>
              <w:pStyle w:val="null3"/>
            </w:pPr>
            <w:r>
              <w:rPr/>
              <w:t>3</w:t>
            </w:r>
          </w:p>
        </w:tc>
        <w:tc>
          <w:tcPr>
            <w:tcW w:type="dxa" w:w="5814"/>
          </w:tcPr>
          <w:p>
            <w:pPr>
              <w:pStyle w:val="null3"/>
              <w:jc w:val="both"/>
            </w:pPr>
            <w:r>
              <w:rPr>
                <w:sz w:val="24"/>
                <w:b/>
              </w:rPr>
              <w:t>三、编制原则</w:t>
            </w:r>
          </w:p>
          <w:p>
            <w:pPr>
              <w:pStyle w:val="null3"/>
              <w:ind w:firstLine="480"/>
              <w:jc w:val="both"/>
            </w:pPr>
            <w:r>
              <w:rPr>
                <w:sz w:val="24"/>
              </w:rPr>
              <w:t>1、规划协调，标准衔接。项目编制应与广州市国土空间总体规划、广州市面向2049的城市发展战略、广州市总体城市设计等上位规划相协调，对接相关管理单位需求，衔接国家、行业、地方规划和标准。</w:t>
            </w:r>
          </w:p>
          <w:p>
            <w:pPr>
              <w:pStyle w:val="null3"/>
              <w:ind w:firstLine="480"/>
              <w:jc w:val="both"/>
            </w:pPr>
            <w:r>
              <w:rPr>
                <w:sz w:val="24"/>
              </w:rPr>
              <w:t>2、对标先进，精细提质。借鉴国内外先进城市风貌构件建设经验，结合广州实际情况，按照“提质、增效、降本”的优化设计理念，强化构件标准化、精细化和美学设计，完善功能需求，提高构件安全性能，增强品质感和设计感，降低生产成本。</w:t>
            </w:r>
          </w:p>
          <w:p>
            <w:pPr>
              <w:pStyle w:val="null3"/>
              <w:ind w:firstLine="480"/>
              <w:jc w:val="left"/>
            </w:pPr>
            <w:r>
              <w:rPr>
                <w:sz w:val="24"/>
              </w:rPr>
              <w:t>3、机制创新，塑造品牌。创新城市风貌构件品质化、标准化建设机制，并研究保障品质标准化实施的实施模式，结合全运及其他重点建设工作逐步推广，推动城市管理改革创新，形成广州品牌。</w:t>
            </w:r>
          </w:p>
        </w:tc>
      </w:tr>
      <w:tr>
        <w:tc>
          <w:tcPr>
            <w:tcW w:type="dxa" w:w="2076"/>
          </w:tcPr>
          <w:p/>
        </w:tc>
        <w:tc>
          <w:tcPr>
            <w:tcW w:type="dxa" w:w="415"/>
          </w:tcPr>
          <w:p>
            <w:pPr>
              <w:pStyle w:val="null3"/>
            </w:pPr>
            <w:r>
              <w:rPr/>
              <w:t>4</w:t>
            </w:r>
          </w:p>
        </w:tc>
        <w:tc>
          <w:tcPr>
            <w:tcW w:type="dxa" w:w="5814"/>
          </w:tcPr>
          <w:p>
            <w:pPr>
              <w:pStyle w:val="null3"/>
              <w:jc w:val="both"/>
            </w:pPr>
            <w:r>
              <w:rPr>
                <w:sz w:val="24"/>
                <w:b/>
              </w:rPr>
              <w:t>四、编制内容</w:t>
            </w:r>
          </w:p>
          <w:p>
            <w:pPr>
              <w:pStyle w:val="null3"/>
              <w:ind w:firstLine="480"/>
              <w:jc w:val="both"/>
            </w:pPr>
            <w:r>
              <w:rPr>
                <w:sz w:val="24"/>
              </w:rPr>
              <w:t>1、调研先进城市构件。</w:t>
            </w:r>
          </w:p>
          <w:p>
            <w:pPr>
              <w:pStyle w:val="null3"/>
              <w:ind w:firstLine="480"/>
              <w:jc w:val="both"/>
            </w:pPr>
            <w:r>
              <w:rPr>
                <w:sz w:val="24"/>
              </w:rPr>
              <w:t>一是对广州现状城市风貌构件建设情况开展调研分析，包括现状构件的设置场景、样式标准、相关管理部门需求、厂家情况等；二是开展上海、杭州及北京3座国内先进城市实地调研，对城市风貌构件样式、标准、建设、实施模式等进行分析；三是整理东京、巴黎、伦敦、香港等国际大都市的城市风貌构件样式和建设特点。</w:t>
            </w:r>
          </w:p>
          <w:p>
            <w:pPr>
              <w:pStyle w:val="null3"/>
              <w:ind w:firstLine="480"/>
              <w:jc w:val="both"/>
            </w:pPr>
            <w:r>
              <w:rPr>
                <w:sz w:val="24"/>
              </w:rPr>
              <w:t>2、制定构件清单。</w:t>
            </w:r>
          </w:p>
          <w:p>
            <w:pPr>
              <w:pStyle w:val="null3"/>
              <w:ind w:firstLine="480"/>
              <w:jc w:val="both"/>
            </w:pPr>
            <w:r>
              <w:rPr>
                <w:sz w:val="24"/>
              </w:rPr>
              <w:t>根据城市公共空间主要设施分类，结合广州构件建设情况和管理部门需求，确定广州城市风貌构件清单。</w:t>
            </w:r>
          </w:p>
          <w:p>
            <w:pPr>
              <w:pStyle w:val="null3"/>
              <w:ind w:firstLine="480"/>
              <w:jc w:val="both"/>
            </w:pPr>
            <w:r>
              <w:rPr>
                <w:sz w:val="24"/>
              </w:rPr>
              <w:t>3、制定构件建设标准。</w:t>
            </w:r>
          </w:p>
          <w:p>
            <w:pPr>
              <w:pStyle w:val="null3"/>
              <w:ind w:firstLine="480"/>
              <w:jc w:val="both"/>
            </w:pPr>
            <w:r>
              <w:rPr>
                <w:sz w:val="24"/>
              </w:rPr>
              <w:t>对标国内外先进城市案例，按照“提质、增效、降本”的总体理念，规范构件设置场景，加强构件美学研究，优化通用样式、细节品质和采购模式，优先使用环保材料，进而制定城市风貌构件“广州标准”，形成建设标准图集纳入集采品目，推动构件集约化、标准化、品质化，营造整洁有序、特色突出的城市公共空间整体风貌。</w:t>
            </w:r>
          </w:p>
          <w:p>
            <w:pPr>
              <w:pStyle w:val="null3"/>
              <w:ind w:firstLine="480"/>
              <w:jc w:val="both"/>
            </w:pPr>
            <w:r>
              <w:rPr>
                <w:sz w:val="24"/>
              </w:rPr>
              <w:t>4、研究构件实施模式。</w:t>
            </w:r>
          </w:p>
          <w:p>
            <w:pPr>
              <w:pStyle w:val="null3"/>
              <w:ind w:firstLine="480"/>
              <w:jc w:val="both"/>
            </w:pPr>
            <w:r>
              <w:rPr>
                <w:sz w:val="24"/>
              </w:rPr>
              <w:t>一是结合全运会的城市品质提升工作，率先示范实施。二是集采机制研究，包括集采品目标准制定、集中采购平台建设、采购流程、监测管理体制等内容。三是结合公共投资模式研究，拓宽后续实施资金来源；四是品牌推广研究，结合重点片区建设和城市更新，边做边推，边推边做，形成广州城市风貌构件品牌。</w:t>
            </w:r>
          </w:p>
          <w:p>
            <w:pPr>
              <w:pStyle w:val="null3"/>
              <w:ind w:firstLine="480"/>
              <w:jc w:val="both"/>
            </w:pPr>
            <w:r>
              <w:rPr>
                <w:sz w:val="24"/>
              </w:rPr>
              <w:t>5、规划管控及技术咨询服务</w:t>
            </w:r>
          </w:p>
          <w:p>
            <w:pPr>
              <w:pStyle w:val="null3"/>
              <w:ind w:firstLine="480"/>
              <w:jc w:val="both"/>
            </w:pPr>
            <w:r>
              <w:rPr>
                <w:sz w:val="24"/>
              </w:rPr>
              <w:t>根据国家、行业和地区规范和标准，结合广州城市风貌构件设置调研情况，划定构件适用区域以及制定构件设置位置管控要求，推动构件集约化、品质化，塑造高品质城市风貌。</w:t>
            </w:r>
          </w:p>
          <w:p>
            <w:pPr>
              <w:pStyle w:val="null3"/>
              <w:ind w:firstLine="480"/>
              <w:jc w:val="both"/>
            </w:pPr>
            <w:r>
              <w:rPr>
                <w:sz w:val="24"/>
              </w:rPr>
              <w:t>对低空起降地面配套设施现状进行摸查，分析用地及管控存在问题，结合国内外相关标准开展选址要求研究，并形成对应的用地要求及规划管控指引措施建议。</w:t>
            </w:r>
          </w:p>
          <w:p>
            <w:pPr>
              <w:pStyle w:val="null3"/>
              <w:ind w:firstLine="480"/>
              <w:jc w:val="left"/>
            </w:pPr>
            <w:r>
              <w:rPr>
                <w:sz w:val="24"/>
              </w:rPr>
              <w:t>形成2+3技术成果，即一个总报告、一个技术咨询服务报告，一套构件设计方案、一套构件调研报告、一套构件建设标准。构件设计方案包括项目背景、构件清单、设计理念、构件标准和实施模式，其中实施模式供相关部门组织实施参考；构件调研报告为国内外先进城市风貌构件调研分析；构件建设标准为按照集采要求形成的构件标准图集，包括但不限于种类、规格、色彩、材料、质量、型号等。</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w:t>
            </w:r>
            <w:r>
              <w:rPr>
                <w:sz w:val="24"/>
                <w:b/>
              </w:rPr>
              <w:t>五、人员团队要求</w:t>
            </w:r>
          </w:p>
          <w:p>
            <w:pPr>
              <w:pStyle w:val="null3"/>
              <w:ind w:firstLine="480"/>
              <w:jc w:val="both"/>
            </w:pPr>
            <w:r>
              <w:rPr>
                <w:sz w:val="24"/>
              </w:rPr>
              <w:t>投标人应为本项目成立项目团队，并明确项目负责人（1人）。基本要求如下：</w:t>
            </w:r>
          </w:p>
          <w:p>
            <w:pPr>
              <w:pStyle w:val="null3"/>
              <w:ind w:firstLine="480"/>
              <w:jc w:val="both"/>
            </w:pPr>
            <w:r>
              <w:rPr>
                <w:sz w:val="24"/>
              </w:rPr>
              <w:t>1、项目负责人需具有城市（乡）规划专业高级工程师或以上职称。</w:t>
            </w:r>
          </w:p>
          <w:p>
            <w:pPr>
              <w:pStyle w:val="null3"/>
              <w:ind w:firstLine="480"/>
              <w:jc w:val="both"/>
            </w:pPr>
            <w:r>
              <w:rPr>
                <w:sz w:val="24"/>
              </w:rPr>
              <w:t>2、项目团队主要成员应不少于8人，专业配置合理，职责清晰。</w:t>
            </w:r>
          </w:p>
          <w:p>
            <w:pPr>
              <w:pStyle w:val="null3"/>
              <w:ind w:firstLine="480"/>
              <w:jc w:val="left"/>
            </w:pPr>
            <w:r>
              <w:rPr>
                <w:sz w:val="24"/>
              </w:rPr>
              <w:t>为了确保项目的履约及成果质量，投标人可以在上述基础上提供资质更高的人员：项目负责人2020年1月1日以来承担过城市风貌构件类或者城市品质提升类项目；项目团队主要成员涵盖城市规划（城乡规划）、市政路桥设计、建筑设计（建筑学）、风景园林、环境艺术设计、建筑经济、建筑工程结构设计、岩土等相关专业。</w:t>
            </w:r>
          </w:p>
        </w:tc>
      </w:tr>
      <w:tr>
        <w:tc>
          <w:tcPr>
            <w:tcW w:type="dxa" w:w="2076"/>
          </w:tcPr>
          <w:p/>
        </w:tc>
        <w:tc>
          <w:tcPr>
            <w:tcW w:type="dxa" w:w="415"/>
          </w:tcPr>
          <w:p>
            <w:pPr>
              <w:pStyle w:val="null3"/>
            </w:pPr>
            <w:r>
              <w:rPr/>
              <w:t>6</w:t>
            </w:r>
          </w:p>
        </w:tc>
        <w:tc>
          <w:tcPr>
            <w:tcW w:type="dxa" w:w="5814"/>
          </w:tcPr>
          <w:p>
            <w:pPr>
              <w:pStyle w:val="null3"/>
              <w:jc w:val="both"/>
            </w:pPr>
            <w:r>
              <w:rPr>
                <w:sz w:val="24"/>
                <w:b/>
              </w:rPr>
              <w:t>六、成果提交要求</w:t>
            </w:r>
          </w:p>
          <w:p>
            <w:pPr>
              <w:pStyle w:val="null3"/>
              <w:ind w:firstLine="480"/>
              <w:jc w:val="both"/>
            </w:pPr>
            <w:r>
              <w:rPr>
                <w:sz w:val="24"/>
              </w:rPr>
              <w:t>1、设计成果内容必须符合需求书中的总则、设计原则、工作内容等有关章节的规定。成果内容要点清晰，具有实操性，能够切实发挥设计对实施的指导作用。</w:t>
            </w:r>
          </w:p>
          <w:p>
            <w:pPr>
              <w:pStyle w:val="null3"/>
              <w:ind w:firstLine="480"/>
              <w:jc w:val="both"/>
            </w:pPr>
            <w:r>
              <w:rPr>
                <w:sz w:val="24"/>
              </w:rPr>
              <w:t>2、成果需提交A4规格的技术文本和A2规格的标准图集，上述文件同时需提供符合项目归档结题的电子文件格式（CAD、DOC、PPT、PDF等文件格式，符合入库标准）,技术文本要以PPT、WORD或PDF格式文件提供，标准图集要以PDF格式文件提供。所有文件应符合行业规范、地方通用标准及采购人要求。</w:t>
            </w:r>
          </w:p>
          <w:p>
            <w:pPr>
              <w:pStyle w:val="null3"/>
              <w:ind w:firstLine="480"/>
              <w:jc w:val="both"/>
            </w:pPr>
            <w:r>
              <w:rPr>
                <w:sz w:val="24"/>
              </w:rPr>
              <w:t>3、所有成果的计量单位均应采用国际标准计量单位。长度单位：总平面图标注尺寸以米（m）为单位，建筑设计图标注尺寸以毫米（mm）为单位;面积单位:均以平方米（m2）为单位；体积单位：均以立方米（m3）为单位。</w:t>
            </w:r>
          </w:p>
          <w:p>
            <w:pPr>
              <w:pStyle w:val="null3"/>
              <w:ind w:firstLine="480"/>
              <w:jc w:val="left"/>
            </w:pPr>
            <w:r>
              <w:rPr>
                <w:sz w:val="24"/>
              </w:rPr>
              <w:t>4、中标人可以根据需要提供上述成果要求意外的其他材料。</w:t>
            </w:r>
          </w:p>
        </w:tc>
      </w:tr>
      <w:tr>
        <w:tc>
          <w:tcPr>
            <w:tcW w:type="dxa" w:w="2076"/>
          </w:tcPr>
          <w:p/>
        </w:tc>
        <w:tc>
          <w:tcPr>
            <w:tcW w:type="dxa" w:w="415"/>
          </w:tcPr>
          <w:p>
            <w:pPr>
              <w:pStyle w:val="null3"/>
            </w:pPr>
            <w:r>
              <w:rPr/>
              <w:t>7</w:t>
            </w:r>
          </w:p>
        </w:tc>
        <w:tc>
          <w:tcPr>
            <w:tcW w:type="dxa" w:w="5814"/>
          </w:tcPr>
          <w:p>
            <w:pPr>
              <w:pStyle w:val="null3"/>
              <w:jc w:val="both"/>
            </w:pPr>
            <w:r>
              <w:rPr>
                <w:sz w:val="24"/>
                <w:b/>
              </w:rPr>
              <w:t>七、规划成果的报送和审查</w:t>
            </w:r>
          </w:p>
          <w:p>
            <w:pPr>
              <w:pStyle w:val="null3"/>
              <w:ind w:firstLine="480"/>
              <w:jc w:val="both"/>
            </w:pPr>
            <w:r>
              <w:rPr>
                <w:sz w:val="24"/>
              </w:rPr>
              <w:t>1、本项工作采取分阶段评审的方式，采购人负责组织审查工作，并出具审查书面意见。中标人负责提供审查和验收所必需的汇报材料和相关文件以及进行技术方案介绍。</w:t>
            </w:r>
          </w:p>
          <w:p>
            <w:pPr>
              <w:pStyle w:val="null3"/>
              <w:ind w:firstLine="480"/>
              <w:jc w:val="both"/>
            </w:pPr>
            <w:r>
              <w:rPr>
                <w:sz w:val="24"/>
              </w:rPr>
              <w:t>2、通过审查后，中标人应根据审查意见修改并按时提交审批成果。各阶段提交成果文本的数量与组织单位协商后确定。</w:t>
            </w:r>
          </w:p>
          <w:p>
            <w:pPr>
              <w:pStyle w:val="null3"/>
              <w:ind w:firstLine="480"/>
              <w:jc w:val="left"/>
            </w:pPr>
            <w:r>
              <w:rPr>
                <w:sz w:val="24"/>
              </w:rPr>
              <w:t>3、提交的正式技术成果必须在成果报告上加注委托单位名称、中标人名称及法人代表、项目负责人、技术协调人和设计人员名单，并加盖中标人公章和城市规划设计出图专用章。</w:t>
            </w:r>
          </w:p>
        </w:tc>
      </w:tr>
      <w:tr>
        <w:tc>
          <w:tcPr>
            <w:tcW w:type="dxa" w:w="2076"/>
          </w:tcPr>
          <w:p/>
        </w:tc>
        <w:tc>
          <w:tcPr>
            <w:tcW w:type="dxa" w:w="415"/>
          </w:tcPr>
          <w:p>
            <w:pPr>
              <w:pStyle w:val="null3"/>
            </w:pPr>
            <w:r>
              <w:rPr/>
              <w:t>8</w:t>
            </w:r>
          </w:p>
        </w:tc>
        <w:tc>
          <w:tcPr>
            <w:tcW w:type="dxa" w:w="5814"/>
          </w:tcPr>
          <w:p>
            <w:pPr>
              <w:pStyle w:val="null3"/>
              <w:jc w:val="both"/>
            </w:pPr>
            <w:r>
              <w:rPr>
                <w:sz w:val="24"/>
                <w:b/>
              </w:rPr>
              <w:t>八、附则</w:t>
            </w:r>
          </w:p>
          <w:p>
            <w:pPr>
              <w:pStyle w:val="null3"/>
              <w:ind w:firstLine="480"/>
              <w:jc w:val="both"/>
            </w:pPr>
            <w:r>
              <w:rPr>
                <w:sz w:val="24"/>
              </w:rPr>
              <w:t>1、本项目署名权归中标人所有，版权归采购人所有；采购人有权在项目审定后公开展示技术成果，并通过传播、媒介、专业杂志、书刊或其它形式介绍、展示技术方案。中标人未经采购人允许，不得以任何形式公开或截取公开本技术成果。</w:t>
            </w:r>
          </w:p>
          <w:p>
            <w:pPr>
              <w:pStyle w:val="null3"/>
              <w:ind w:firstLine="480"/>
              <w:jc w:val="both"/>
            </w:pPr>
            <w:r>
              <w:rPr>
                <w:sz w:val="24"/>
              </w:rPr>
              <w:t>2、中标人如对本任务书有疑问，可在接到本任务书后致函项目组织单位，项目组织单位将以电子邮件或书面形式答复。</w:t>
            </w:r>
          </w:p>
          <w:p>
            <w:pPr>
              <w:pStyle w:val="null3"/>
              <w:ind w:firstLine="480"/>
              <w:jc w:val="both"/>
            </w:pPr>
            <w:r>
              <w:rPr>
                <w:sz w:val="24"/>
              </w:rPr>
              <w:t>3、中标人所提交的规划成果有下列情形之一的视为成果无效，按技术服务合同规定承担相应责任。</w:t>
            </w:r>
          </w:p>
          <w:p>
            <w:pPr>
              <w:pStyle w:val="null3"/>
              <w:ind w:firstLine="480"/>
              <w:jc w:val="both"/>
            </w:pPr>
            <w:r>
              <w:rPr>
                <w:sz w:val="24"/>
              </w:rPr>
              <w:t>（1）提交的研究成果不符合本任务书规定的；</w:t>
            </w:r>
          </w:p>
          <w:p>
            <w:pPr>
              <w:pStyle w:val="null3"/>
              <w:ind w:firstLine="480"/>
              <w:jc w:val="both"/>
            </w:pPr>
            <w:r>
              <w:rPr>
                <w:sz w:val="24"/>
              </w:rPr>
              <w:t>（2）提交的图纸和文字辨认不清，内容不全或粗制滥造的；</w:t>
            </w:r>
          </w:p>
          <w:p>
            <w:pPr>
              <w:pStyle w:val="null3"/>
              <w:ind w:firstLine="480"/>
              <w:jc w:val="both"/>
            </w:pPr>
            <w:r>
              <w:rPr>
                <w:sz w:val="24"/>
              </w:rPr>
              <w:t>（3）未经组织单位同意逾期上报研究成果的；</w:t>
            </w:r>
          </w:p>
          <w:p>
            <w:pPr>
              <w:pStyle w:val="null3"/>
              <w:ind w:firstLine="480"/>
              <w:jc w:val="left"/>
            </w:pPr>
            <w:r>
              <w:rPr>
                <w:sz w:val="24"/>
              </w:rPr>
              <w:t>（4）本规划任务书解释权归广州市规划和自然资源局所有。</w:t>
            </w:r>
          </w:p>
        </w:tc>
      </w:tr>
      <w:tr>
        <w:tc>
          <w:tcPr>
            <w:tcW w:type="dxa" w:w="2076"/>
          </w:tcPr>
          <w:p/>
        </w:tc>
        <w:tc>
          <w:tcPr>
            <w:tcW w:type="dxa" w:w="415"/>
          </w:tcPr>
          <w:p>
            <w:pPr>
              <w:pStyle w:val="null3"/>
            </w:pPr>
            <w:r>
              <w:rPr/>
              <w:t>9</w:t>
            </w:r>
          </w:p>
        </w:tc>
        <w:tc>
          <w:tcPr>
            <w:tcW w:type="dxa" w:w="5814"/>
          </w:tcPr>
          <w:p>
            <w:pPr>
              <w:pStyle w:val="null3"/>
              <w:jc w:val="both"/>
            </w:pPr>
            <w:r>
              <w:rPr>
                <w:sz w:val="24"/>
                <w:b/>
              </w:rPr>
              <w:t>九、其他要求</w:t>
            </w:r>
          </w:p>
          <w:p>
            <w:pPr>
              <w:pStyle w:val="null3"/>
              <w:ind w:firstLine="480"/>
              <w:jc w:val="both"/>
            </w:pPr>
            <w:r>
              <w:rPr>
                <w:sz w:val="24"/>
              </w:rPr>
              <w:t>1、本项目前期要求</w:t>
            </w:r>
          </w:p>
          <w:p>
            <w:pPr>
              <w:pStyle w:val="null3"/>
              <w:ind w:firstLine="480"/>
              <w:jc w:val="both"/>
            </w:pPr>
            <w:r>
              <w:rPr>
                <w:sz w:val="24"/>
              </w:rPr>
              <w:t>投标人需要充分理解和掌握项目背景、工作目标、工作任务、工作范围的城市现状、交通现状、项目涉及的政策规范等，并对此进行分析，明确本项目的工作目标，为保障项目的成果质量提供支持。并根据采购需求的要求，制定工作方案,内容包括但不限于①先进城市构件调研分析、②广州构件清单、③广州构件标准方案设计、④广州构件实施模式研究等内容。</w:t>
            </w:r>
          </w:p>
          <w:p>
            <w:pPr>
              <w:pStyle w:val="null3"/>
              <w:ind w:firstLine="480"/>
              <w:jc w:val="both"/>
            </w:pPr>
            <w:r>
              <w:rPr>
                <w:sz w:val="24"/>
              </w:rPr>
              <w:t>2、技术要求</w:t>
            </w:r>
          </w:p>
          <w:p>
            <w:pPr>
              <w:pStyle w:val="null3"/>
              <w:ind w:firstLine="480"/>
              <w:jc w:val="both"/>
            </w:pPr>
            <w:r>
              <w:rPr>
                <w:sz w:val="24"/>
              </w:rPr>
              <w:t>符合《中华人民共和国城乡规划法》等现行的国家和地方有关法律、法规以及相关规范的技术要求。</w:t>
            </w:r>
          </w:p>
          <w:p>
            <w:pPr>
              <w:pStyle w:val="null3"/>
              <w:ind w:firstLine="480"/>
              <w:jc w:val="both"/>
            </w:pPr>
            <w:r>
              <w:rPr>
                <w:sz w:val="24"/>
              </w:rPr>
              <w:t>3、项目重点、难点</w:t>
            </w:r>
          </w:p>
          <w:p>
            <w:pPr>
              <w:pStyle w:val="null3"/>
              <w:ind w:firstLine="480"/>
              <w:jc w:val="both"/>
            </w:pPr>
            <w:r>
              <w:rPr>
                <w:sz w:val="24"/>
              </w:rPr>
              <w:t>本项目为深入贯彻总</w:t>
            </w:r>
            <w:r>
              <w:rPr>
                <w:sz w:val="24"/>
                <w:color w:val="FFFFFF"/>
              </w:rPr>
              <w:t>一</w:t>
            </w:r>
            <w:r>
              <w:rPr>
                <w:sz w:val="24"/>
              </w:rPr>
              <w:t>书记对广州重要讲话和重要指示批示精神，贯彻落实党的二十届三中</w:t>
            </w:r>
            <w:r>
              <w:rPr>
                <w:sz w:val="24"/>
                <w:color w:val="FFFFFF"/>
              </w:rPr>
              <w:t>一</w:t>
            </w:r>
            <w:r>
              <w:rPr>
                <w:sz w:val="24"/>
              </w:rPr>
              <w:t>全会提出的“全面提高城乡规划、建设、治理融合水平”，按照省和市的工作部署，落实国土空间规划要求，提高城市风貌构件的优化管控水平，推动广州整体风貌品质提升和长效管理，打造中心型世界城市品牌，开展《城维计划-综合交通编制经费（子项11：广州市城市风貌构件方案设计和集采标准》技术服务，投标人需就本项目的重点、难点问题进行分析，并明确工作思路及解决措施。</w:t>
            </w:r>
          </w:p>
          <w:p>
            <w:pPr>
              <w:pStyle w:val="null3"/>
              <w:ind w:firstLine="480"/>
              <w:jc w:val="both"/>
            </w:pPr>
            <w:r>
              <w:rPr>
                <w:sz w:val="24"/>
              </w:rPr>
              <w:t>4、工作时间计划和质量保障措施</w:t>
            </w:r>
          </w:p>
          <w:p>
            <w:pPr>
              <w:pStyle w:val="null3"/>
              <w:ind w:firstLine="480"/>
              <w:jc w:val="both"/>
            </w:pPr>
            <w:r>
              <w:rPr>
                <w:sz w:val="24"/>
              </w:rPr>
              <w:t>（1）工期计划：包括前期工作阶段、初步成果阶段、中期成果阶段和最终成果阶段。（注：上述各阶段工作时间具体以实际开展情况为准）。</w:t>
            </w:r>
          </w:p>
          <w:p>
            <w:pPr>
              <w:pStyle w:val="null3"/>
              <w:ind w:firstLine="480"/>
              <w:jc w:val="both"/>
            </w:pPr>
            <w:r>
              <w:rPr>
                <w:sz w:val="24"/>
              </w:rPr>
              <w:t>（2）质量保障措施：</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综合交通规划编制经费（子项11：广州市城市风貌构件方案设计和集采标准）)：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采购包1（城维计划-综合交通规划编制经费（子项11：广州市城市风貌构件方案设计和集采标准））：</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采购包1（城维计划-综合交通规划编制经费（子项11：广州市城市风貌构件方案设计和集采标准））：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采购包1（城维计划-综合交通规划编制经费（子项11：广州市城市风貌构件方案设计和集采标准））：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采购包1(城维计划-综合交通规划编制经费（子项11：广州市城市风貌构件方案设计和集采标准）):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对项目的熟悉程度A (2.0分)</w:t>
            </w:r>
          </w:p>
        </w:tc>
        <w:tc>
          <w:tcPr>
            <w:tcW w:type="dxa" w:w="5076"/>
          </w:tcPr>
          <w:p>
            <w:pPr>
              <w:pStyle w:val="null3"/>
              <w:jc w:val="left"/>
            </w:pPr>
            <w:r>
              <w:rPr/>
              <w:t>根据采购需求中的项目背景，投标人提供对本项目理解情况，内容包括但不限于：①项目背景；②工作目标；③工作任务。能提供以上内容的，得2分；如未提供或提供不完整，则本项及“对项目的熟悉程度B”均不得分。</w:t>
            </w:r>
          </w:p>
        </w:tc>
      </w:tr>
      <w:tr>
        <w:tc>
          <w:tcPr>
            <w:tcW w:type="dxa" w:w="922"/>
            <w:gridSpan w:val="2"/>
            <w:vMerge/>
          </w:tcPr>
          <w:p/>
        </w:tc>
        <w:tc>
          <w:tcPr>
            <w:tcW w:type="dxa" w:w="2307"/>
          </w:tcPr>
          <w:p>
            <w:pPr>
              <w:pStyle w:val="null3"/>
              <w:jc w:val="left"/>
            </w:pPr>
            <w:r>
              <w:rPr/>
              <w:t>对项目的熟悉程度B (4.0分)</w:t>
            </w:r>
            <w:r>
              <w:rPr/>
              <w:t>，（等次分值选择：</w:t>
            </w:r>
            <w:r>
              <w:rPr/>
              <w:t>0.0;</w:t>
            </w:r>
            <w:r>
              <w:rPr/>
              <w:t>1.0;</w:t>
            </w:r>
            <w:r>
              <w:rPr/>
              <w:t>2.0;</w:t>
            </w:r>
            <w:r>
              <w:rPr/>
              <w:t>4.0;</w:t>
            </w:r>
            <w:r>
              <w:rPr/>
              <w:t>）</w:t>
            </w:r>
          </w:p>
        </w:tc>
        <w:tc>
          <w:tcPr>
            <w:tcW w:type="dxa" w:w="5076"/>
          </w:tcPr>
          <w:p>
            <w:pPr>
              <w:pStyle w:val="null3"/>
              <w:jc w:val="left"/>
            </w:pPr>
            <w:r>
              <w:rPr/>
              <w:t>在符合“对项目的熟悉程度A”的基础上，对投标人提供的对项目的熟悉程度进行详细评审： 1.投标人充分理解和掌握项目背景、工作目标、工作任务、等内容，内容要点突出，特色鲜明，研究深入的，完全满足且优于采购需求，得4分； 2.投标人能理解和掌握项目背景、工作目标、工作任务等内容，内容比较突出的，满足采购需求，得2分； 3.投标人部分或不完全理解和掌握项目背景、工作目标、工作任务等内容，部分满足采购需求，得1分； 4.其它或没有提供方案，得0分。</w:t>
            </w:r>
          </w:p>
        </w:tc>
      </w:tr>
      <w:tr>
        <w:tc>
          <w:tcPr>
            <w:tcW w:type="dxa" w:w="922"/>
            <w:gridSpan w:val="2"/>
            <w:vMerge/>
          </w:tcPr>
          <w:p/>
        </w:tc>
        <w:tc>
          <w:tcPr>
            <w:tcW w:type="dxa" w:w="2307"/>
          </w:tcPr>
          <w:p>
            <w:pPr>
              <w:pStyle w:val="null3"/>
              <w:jc w:val="left"/>
            </w:pPr>
            <w:r>
              <w:rPr/>
              <w:t>对项目现状情况的掌握理解A (3.0分)</w:t>
            </w:r>
          </w:p>
        </w:tc>
        <w:tc>
          <w:tcPr>
            <w:tcW w:type="dxa" w:w="5076"/>
          </w:tcPr>
          <w:p>
            <w:pPr>
              <w:pStyle w:val="null3"/>
              <w:jc w:val="left"/>
            </w:pPr>
            <w:r>
              <w:rPr/>
              <w:t>根据采购需求中的工作范围及内容，投标人提供对项目现状情况的理解，内容包括但不限于：①城市现状；②交通现状；③项目涉及的政策规范等现状情况。能提供以上内容的，得3分；如未提供或提供不完整，则本项及“对项目现状情况的掌握理解B”均不得分。</w:t>
            </w:r>
          </w:p>
        </w:tc>
      </w:tr>
      <w:tr>
        <w:tc>
          <w:tcPr>
            <w:tcW w:type="dxa" w:w="922"/>
            <w:gridSpan w:val="2"/>
            <w:vMerge/>
          </w:tcPr>
          <w:p/>
        </w:tc>
        <w:tc>
          <w:tcPr>
            <w:tcW w:type="dxa" w:w="2307"/>
          </w:tcPr>
          <w:p>
            <w:pPr>
              <w:pStyle w:val="null3"/>
              <w:jc w:val="left"/>
            </w:pPr>
            <w:r>
              <w:rPr/>
              <w:t>对项目现状情况的掌握理解B (5.0分)</w:t>
            </w:r>
            <w:r>
              <w:rPr/>
              <w:t>，（等次分值选择：</w:t>
            </w:r>
            <w:r>
              <w:rPr/>
              <w:t>0.0;</w:t>
            </w:r>
            <w:r>
              <w:rPr/>
              <w:t>1.0;</w:t>
            </w:r>
            <w:r>
              <w:rPr/>
              <w:t>3.0;</w:t>
            </w:r>
            <w:r>
              <w:rPr/>
              <w:t>5.0;</w:t>
            </w:r>
            <w:r>
              <w:rPr/>
              <w:t>）</w:t>
            </w:r>
          </w:p>
        </w:tc>
        <w:tc>
          <w:tcPr>
            <w:tcW w:type="dxa" w:w="5076"/>
          </w:tcPr>
          <w:p>
            <w:pPr>
              <w:pStyle w:val="null3"/>
              <w:jc w:val="left"/>
            </w:pPr>
            <w:r>
              <w:rPr/>
              <w:t>在符合“对项目现状情况的掌握理解A”的基础上，对投标人提供的对项目现状情况的掌握理解进行详细评审： 1.投标人充分掌握项目城市、交通现状情况，对项目涉及的政策规范等现状情况内容分析详细、准确，数据详实的，完全满足且优于采购需求，得5分； 2.投标人掌握项目城市、交通现状情况，对项目涉及的政策规范等现状情况内容分析较为准确，满足采购需求，得3分； 3.投标人掌握部分项目城市、交通现状情况，对项目涉及的政策规范等现状情况内容分析部分准确或不太清晰的，满足采购需求，得1分； 4.其它或没有提供方案，得0分。</w:t>
            </w:r>
          </w:p>
        </w:tc>
      </w:tr>
      <w:tr>
        <w:tc>
          <w:tcPr>
            <w:tcW w:type="dxa" w:w="922"/>
            <w:gridSpan w:val="2"/>
            <w:vMerge/>
          </w:tcPr>
          <w:p/>
        </w:tc>
        <w:tc>
          <w:tcPr>
            <w:tcW w:type="dxa" w:w="2307"/>
          </w:tcPr>
          <w:p>
            <w:pPr>
              <w:pStyle w:val="null3"/>
              <w:jc w:val="left"/>
            </w:pPr>
            <w:r>
              <w:rPr/>
              <w:t>项目技术路线和工作思路A (2.0分)</w:t>
            </w:r>
          </w:p>
        </w:tc>
        <w:tc>
          <w:tcPr>
            <w:tcW w:type="dxa" w:w="5076"/>
          </w:tcPr>
          <w:p>
            <w:pPr>
              <w:pStyle w:val="null3"/>
              <w:jc w:val="left"/>
            </w:pPr>
            <w:r>
              <w:rPr/>
              <w:t>根据采购需求中的编制原则及编制内容，投标人提供的项目技术路线和工作思路，内容包括但不限于：①工作思路；②技术路线；③技术手段；④工作分工。能提供以上内容的，得2分；如未提供或提供不完整，则本项及“项目技术路线和工作思路B”均不得分。</w:t>
            </w:r>
          </w:p>
        </w:tc>
      </w:tr>
      <w:tr>
        <w:tc>
          <w:tcPr>
            <w:tcW w:type="dxa" w:w="922"/>
            <w:gridSpan w:val="2"/>
            <w:vMerge/>
          </w:tcPr>
          <w:p/>
        </w:tc>
        <w:tc>
          <w:tcPr>
            <w:tcW w:type="dxa" w:w="2307"/>
          </w:tcPr>
          <w:p>
            <w:pPr>
              <w:pStyle w:val="null3"/>
              <w:jc w:val="left"/>
            </w:pPr>
            <w:r>
              <w:rPr/>
              <w:t>项目技术路线和工作思路B (4.0分)</w:t>
            </w:r>
            <w:r>
              <w:rPr/>
              <w:t>，（等次分值选择：</w:t>
            </w:r>
            <w:r>
              <w:rPr/>
              <w:t>0.0;</w:t>
            </w:r>
            <w:r>
              <w:rPr/>
              <w:t>1.0;</w:t>
            </w:r>
            <w:r>
              <w:rPr/>
              <w:t>2.0;</w:t>
            </w:r>
            <w:r>
              <w:rPr/>
              <w:t>4.0;</w:t>
            </w:r>
            <w:r>
              <w:rPr/>
              <w:t>）</w:t>
            </w:r>
          </w:p>
        </w:tc>
        <w:tc>
          <w:tcPr>
            <w:tcW w:type="dxa" w:w="5076"/>
          </w:tcPr>
          <w:p>
            <w:pPr>
              <w:pStyle w:val="null3"/>
              <w:jc w:val="left"/>
            </w:pPr>
            <w:r>
              <w:rPr/>
              <w:t>在符合“项目技术路线和工作思路A”的基础上，对投标人提供的项目技术路线和工作思路进行详细评审： 1.项目技术路线和工作思路详细完整且重点突出，准备采取的技术手段明确，能提供具体步骤及解决关键性问题的方法，工作分工明确，完全满足且优于采购需求，得4分； 2.项目技术路线和工作思路基本完整，准备采取的技术手段基本明确，能提供相关的步骤及解决关键性问题的方法，工作分工基本明确，满足采购需求，得2分； 3.项目技术路线和工作思路不够完整、内容简单，准备采取的技术手段不明确，能提供简单的步骤，有工作分工，部分满足采购需求，得1分； 4.其它或没有提供方案，得0分。</w:t>
            </w:r>
          </w:p>
        </w:tc>
      </w:tr>
      <w:tr>
        <w:tc>
          <w:tcPr>
            <w:tcW w:type="dxa" w:w="922"/>
            <w:gridSpan w:val="2"/>
            <w:vMerge/>
          </w:tcPr>
          <w:p/>
        </w:tc>
        <w:tc>
          <w:tcPr>
            <w:tcW w:type="dxa" w:w="2307"/>
          </w:tcPr>
          <w:p>
            <w:pPr>
              <w:pStyle w:val="null3"/>
              <w:jc w:val="left"/>
            </w:pPr>
            <w:r>
              <w:rPr/>
              <w:t>对项目重点、难点的理解和分析A (2.0分)</w:t>
            </w:r>
          </w:p>
        </w:tc>
        <w:tc>
          <w:tcPr>
            <w:tcW w:type="dxa" w:w="5076"/>
          </w:tcPr>
          <w:p>
            <w:pPr>
              <w:pStyle w:val="null3"/>
              <w:jc w:val="left"/>
            </w:pPr>
            <w:r>
              <w:rPr/>
              <w:t>投标人根据本项目的需求内容进行重点、难点问题分析与工作思路阐述方案进行评审，方案需包含①项目重难点问题的分析；②如何应对重难点的工作思路。能提供以上内容的，得2分；如未提供或提供不完整，则本项及“对项目重点、难点的理解和分析B”均不得分。</w:t>
            </w:r>
          </w:p>
        </w:tc>
      </w:tr>
      <w:tr>
        <w:tc>
          <w:tcPr>
            <w:tcW w:type="dxa" w:w="922"/>
            <w:gridSpan w:val="2"/>
            <w:vMerge/>
          </w:tcPr>
          <w:p/>
        </w:tc>
        <w:tc>
          <w:tcPr>
            <w:tcW w:type="dxa" w:w="2307"/>
          </w:tcPr>
          <w:p>
            <w:pPr>
              <w:pStyle w:val="null3"/>
              <w:jc w:val="left"/>
            </w:pPr>
            <w:r>
              <w:rPr/>
              <w:t>对项目重点、难点的理解和分析B (7.0分)</w:t>
            </w:r>
            <w:r>
              <w:rPr/>
              <w:t>，（等次分值选择：</w:t>
            </w:r>
            <w:r>
              <w:rPr/>
              <w:t>0.0;</w:t>
            </w:r>
            <w:r>
              <w:rPr/>
              <w:t>2.0;</w:t>
            </w:r>
            <w:r>
              <w:rPr/>
              <w:t>5.0;</w:t>
            </w:r>
            <w:r>
              <w:rPr/>
              <w:t>7.0;</w:t>
            </w:r>
            <w:r>
              <w:rPr/>
              <w:t>）</w:t>
            </w:r>
          </w:p>
        </w:tc>
        <w:tc>
          <w:tcPr>
            <w:tcW w:type="dxa" w:w="5076"/>
          </w:tcPr>
          <w:p>
            <w:pPr>
              <w:pStyle w:val="null3"/>
              <w:jc w:val="left"/>
            </w:pPr>
            <w:r>
              <w:rPr/>
              <w:t>在符合“对项目重点、难点的理解和分析A”的基础上，对投标人提供的对项目重点、难点的理解和分析进行详细评审： 1.重难点分析合理，应对思路清晰合理，贴合项目情况的，得7分； 2.重难点分析较合理，应对思路较清晰合理，较贴合项目情况的，得5分； 3.重难点分析与项目存在偏差，应对思路不合理，不贴合项目情况的，得2分； 4.无提供或其他不得分。</w:t>
            </w:r>
          </w:p>
        </w:tc>
      </w:tr>
      <w:tr>
        <w:tc>
          <w:tcPr>
            <w:tcW w:type="dxa" w:w="922"/>
            <w:gridSpan w:val="2"/>
            <w:vMerge/>
          </w:tcPr>
          <w:p/>
        </w:tc>
        <w:tc>
          <w:tcPr>
            <w:tcW w:type="dxa" w:w="2307"/>
          </w:tcPr>
          <w:p>
            <w:pPr>
              <w:pStyle w:val="null3"/>
              <w:jc w:val="left"/>
            </w:pPr>
            <w:r>
              <w:rPr/>
              <w:t>工作方案A (4.0分)</w:t>
            </w:r>
          </w:p>
        </w:tc>
        <w:tc>
          <w:tcPr>
            <w:tcW w:type="dxa" w:w="5076"/>
          </w:tcPr>
          <w:p>
            <w:pPr>
              <w:pStyle w:val="null3"/>
              <w:jc w:val="left"/>
            </w:pPr>
            <w:r>
              <w:rPr/>
              <w:t>根据采购需求中的编制原则及编制内容，投标人提供工作方案，内容包括但不限于：①先进城市构件调研分析；②广州构件清单；③广州构件标准方案设计；④广州构件实施模式研究。能提供以上内容的，得4分；如未提供或提供不完整，则本项及“工作方案B”均不得分。</w:t>
            </w:r>
          </w:p>
        </w:tc>
      </w:tr>
      <w:tr>
        <w:tc>
          <w:tcPr>
            <w:tcW w:type="dxa" w:w="922"/>
            <w:gridSpan w:val="2"/>
            <w:vMerge/>
          </w:tcPr>
          <w:p/>
        </w:tc>
        <w:tc>
          <w:tcPr>
            <w:tcW w:type="dxa" w:w="2307"/>
          </w:tcPr>
          <w:p>
            <w:pPr>
              <w:pStyle w:val="null3"/>
              <w:jc w:val="left"/>
            </w:pPr>
            <w:r>
              <w:rPr/>
              <w:t>工作方案B (8.0分)</w:t>
            </w:r>
            <w:r>
              <w:rPr/>
              <w:t>，（等次分值选择：</w:t>
            </w:r>
            <w:r>
              <w:rPr/>
              <w:t>0.0;</w:t>
            </w:r>
            <w:r>
              <w:rPr/>
              <w:t>2.0;</w:t>
            </w:r>
            <w:r>
              <w:rPr/>
              <w:t>5.0;</w:t>
            </w:r>
            <w:r>
              <w:rPr/>
              <w:t>8.0;</w:t>
            </w:r>
            <w:r>
              <w:rPr/>
              <w:t>）</w:t>
            </w:r>
          </w:p>
        </w:tc>
        <w:tc>
          <w:tcPr>
            <w:tcW w:type="dxa" w:w="5076"/>
          </w:tcPr>
          <w:p>
            <w:pPr>
              <w:pStyle w:val="null3"/>
              <w:jc w:val="left"/>
            </w:pPr>
            <w:r>
              <w:rPr/>
              <w:t>在符合“工作方案A”的基础上，对投标人提供的工作方案进行详细评审： 1.工作方案能体现采购需求的目标、全部工作要求和内容，研究思路清晰，方案科学合理，具有较强的可实施性，完全满足且优于采购需求，得8分； 2.工作方案基本能体现采购需求的目标和原则，研究思路合理可行，方案较为准确，满足采购需求，得5分； 3.工作方案能部分体现采购需求的目标和原则，研究思路基本合理，方案简单的，部分满足采购需求，得2分； 4.其它或没有提供方案，得0分。</w:t>
            </w:r>
          </w:p>
        </w:tc>
      </w:tr>
      <w:tr>
        <w:tc>
          <w:tcPr>
            <w:tcW w:type="dxa" w:w="922"/>
            <w:gridSpan w:val="2"/>
            <w:vMerge/>
          </w:tcPr>
          <w:p/>
        </w:tc>
        <w:tc>
          <w:tcPr>
            <w:tcW w:type="dxa" w:w="2307"/>
          </w:tcPr>
          <w:p>
            <w:pPr>
              <w:pStyle w:val="null3"/>
              <w:jc w:val="left"/>
            </w:pPr>
            <w:r>
              <w:rPr/>
              <w:t>工作时间计划和质量保障措施A (1.0分)</w:t>
            </w:r>
          </w:p>
        </w:tc>
        <w:tc>
          <w:tcPr>
            <w:tcW w:type="dxa" w:w="5076"/>
          </w:tcPr>
          <w:p>
            <w:pPr>
              <w:pStyle w:val="null3"/>
              <w:jc w:val="left"/>
            </w:pPr>
            <w:r>
              <w:rPr/>
              <w:t>根据采购需求中的工作时间计划、成果提交要求和规划成果的报送和审查要求，投标人提供的工作时间计划和质量保障措施，内容包括但不限于：①进度计划；②质量和技术保障措施能提供以上内容的，得1分；如未提供或提供不完整，则本项及“工作时间计划和质量保障措施B”均不得分。</w:t>
            </w:r>
          </w:p>
        </w:tc>
      </w:tr>
      <w:tr>
        <w:tc>
          <w:tcPr>
            <w:tcW w:type="dxa" w:w="922"/>
            <w:gridSpan w:val="2"/>
            <w:vMerge/>
          </w:tcPr>
          <w:p/>
        </w:tc>
        <w:tc>
          <w:tcPr>
            <w:tcW w:type="dxa" w:w="2307"/>
          </w:tcPr>
          <w:p>
            <w:pPr>
              <w:pStyle w:val="null3"/>
              <w:jc w:val="left"/>
            </w:pPr>
            <w:r>
              <w:rPr/>
              <w:t>工作时间计划和质量保障措施B (3.0分)</w:t>
            </w:r>
            <w:r>
              <w:rPr/>
              <w:t>，（等次分值选择：</w:t>
            </w:r>
            <w:r>
              <w:rPr/>
              <w:t>0.0;</w:t>
            </w:r>
            <w:r>
              <w:rPr/>
              <w:t>1.0;</w:t>
            </w:r>
            <w:r>
              <w:rPr/>
              <w:t>2.0;</w:t>
            </w:r>
            <w:r>
              <w:rPr/>
              <w:t>3.0;</w:t>
            </w:r>
            <w:r>
              <w:rPr/>
              <w:t>）</w:t>
            </w:r>
          </w:p>
        </w:tc>
        <w:tc>
          <w:tcPr>
            <w:tcW w:type="dxa" w:w="5076"/>
          </w:tcPr>
          <w:p>
            <w:pPr>
              <w:pStyle w:val="null3"/>
              <w:jc w:val="left"/>
            </w:pPr>
            <w:r>
              <w:rPr/>
              <w:t>在符合“工作时间计划和质量保障措施A”的基础上，对投标人提供的工作时间计划和质量保障措施进行详细评审： 1.投标人能提供详细明确的项目工作时间安排，有设定明确的实施计划流程，每个工作节点衔接顺畅，质量保障措施和保密措施完整，目标明确，能提供详细的质量和保密控制过程所使用的方法、风险预防和应对措施，完全满足且优于采购需求，得3分； 2.投标人制定项目工作时间安排、实施计划流程和工作计划简单，质量保障措施和保密措施基本完整，目标基本明确，能提供简单的质量和保密控制过程所使用的方法、风险预防和应对措施，满足采购需求，得2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自2020年1月1日至今同类项目业绩 (10.0分)</w:t>
            </w:r>
          </w:p>
        </w:tc>
        <w:tc>
          <w:tcPr>
            <w:tcW w:type="dxa" w:w="5076"/>
          </w:tcPr>
          <w:p>
            <w:pPr>
              <w:pStyle w:val="null3"/>
              <w:jc w:val="left"/>
            </w:pPr>
            <w:r>
              <w:rPr/>
              <w:t>1.投标人2020年1月1日（以合同签订时间为准）至今，承接过城市风貌构件指引、标准业绩，每提供一项得2分，最高得4分。 2.投标人2020年1月1日（以合同签订时间为准）至今，承接过城市品质提升规划、指引、策划咨询业绩，每提供一项得1分，最高得6分。 注： （1）城市风貌构件指公共服务设施（城市家具）、交通设施、市政设施等城市公共空间设施。 （2）需提供合同关键页（含签订合同双方的单位名称、合同项目名称与含签订合同双方的落款盖章、签订日期的关键页）扫描件，否则无效。</w:t>
            </w:r>
          </w:p>
        </w:tc>
      </w:tr>
      <w:tr>
        <w:tc>
          <w:tcPr>
            <w:tcW w:type="dxa" w:w="922"/>
            <w:gridSpan w:val="2"/>
            <w:vMerge/>
          </w:tcPr>
          <w:p/>
        </w:tc>
        <w:tc>
          <w:tcPr>
            <w:tcW w:type="dxa" w:w="2307"/>
          </w:tcPr>
          <w:p>
            <w:pPr>
              <w:pStyle w:val="null3"/>
              <w:jc w:val="left"/>
            </w:pPr>
            <w:r>
              <w:rPr/>
              <w:t>供应商管理认证情况 (3.0分)</w:t>
            </w:r>
          </w:p>
        </w:tc>
        <w:tc>
          <w:tcPr>
            <w:tcW w:type="dxa" w:w="5076"/>
          </w:tcPr>
          <w:p>
            <w:pPr>
              <w:pStyle w:val="null3"/>
              <w:jc w:val="left"/>
            </w:pPr>
            <w:r>
              <w:rPr/>
              <w:t>1、供应商具有质量管理体系认证、环境管理体系认证、职业健康安全管理体系认证的，每提供1个证书得1 分，本小项最高得3分。【注：须提供有效期内的证书复印件，证书失效或未提供不得分。新成立的公司因实施运行不满3个月无法办理认证证书的，可对应得分。】</w:t>
            </w:r>
          </w:p>
        </w:tc>
      </w:tr>
      <w:tr>
        <w:tc>
          <w:tcPr>
            <w:tcW w:type="dxa" w:w="922"/>
            <w:gridSpan w:val="2"/>
            <w:vMerge/>
          </w:tcPr>
          <w:p/>
        </w:tc>
        <w:tc>
          <w:tcPr>
            <w:tcW w:type="dxa" w:w="2307"/>
          </w:tcPr>
          <w:p>
            <w:pPr>
              <w:pStyle w:val="null3"/>
              <w:jc w:val="left"/>
            </w:pPr>
            <w:r>
              <w:rPr/>
              <w:t>项目负责人情况 (9.0分)</w:t>
            </w:r>
          </w:p>
        </w:tc>
        <w:tc>
          <w:tcPr>
            <w:tcW w:type="dxa" w:w="5076"/>
          </w:tcPr>
          <w:p>
            <w:pPr>
              <w:pStyle w:val="null3"/>
              <w:jc w:val="left"/>
            </w:pPr>
            <w:r>
              <w:rPr/>
              <w:t>拟派本项目负责人情况： 1. 项目负责人具备城市（乡）规划专业教授级（正）高级工程师，得3分；具有城市（乡）规划高级工程师，得2分。本小项最高得3分。 2.项目负责人2020年1月1日以来承担过城市风貌构件类或者城市品质提升类项目的，每提供1个业绩证明资料加1分，本小项最高得6分。 注： （1）需提供职称证书复印件或网页查询截图（显示查询链接）（如职称证书中未注明专业方向，须同时提供学位/学历证作为评审材料）； （2）业绩证明材料以项目成果扉页或合同复印件的人员信息为准。 （3）需提供投标截止时间前6个月内任意1个月在本单位缴纳的社保证明复印件（证明材料必须由社保局盖章（含电子章）方有效）或劳动合同。</w:t>
            </w:r>
          </w:p>
        </w:tc>
      </w:tr>
      <w:tr>
        <w:tc>
          <w:tcPr>
            <w:tcW w:type="dxa" w:w="922"/>
            <w:gridSpan w:val="2"/>
            <w:vMerge/>
          </w:tcPr>
          <w:p/>
        </w:tc>
        <w:tc>
          <w:tcPr>
            <w:tcW w:type="dxa" w:w="2307"/>
          </w:tcPr>
          <w:p>
            <w:pPr>
              <w:pStyle w:val="null3"/>
              <w:jc w:val="left"/>
            </w:pPr>
            <w:r>
              <w:rPr/>
              <w:t>团队成员配备 (18.0分)</w:t>
            </w:r>
          </w:p>
        </w:tc>
        <w:tc>
          <w:tcPr>
            <w:tcW w:type="dxa" w:w="5076"/>
          </w:tcPr>
          <w:p>
            <w:pPr>
              <w:pStyle w:val="null3"/>
              <w:jc w:val="left"/>
            </w:pPr>
            <w:r>
              <w:rPr/>
              <w:t>项目团队人员满足《第二章采购需求》人员要求“项目团队主要成员（不含项目负责人）应不少于8人。”，得1分； 2.项目团队配备城市规划（城乡规划）、市政路桥设计、建筑设计（建筑学）、风景园林、环境艺术设计、建筑经济、建筑工程结构设计、岩土8种专业资格的高级工程师，每涵盖1个专业，得1分，本小项最高得8分； 3.项目团队主要成员在满足第（2）项要求下，额外配备上述专业类别教授级高级工程师职称的成员，每涵盖1个专业，得1.5分，本小项最高得9分。同一人同时具备多个专业职称的不累计，以最高级别计分。 注： （1）需提供职称证书复印件或网页查询截图（显示查询链接）（如职称证书中未注明专业方向，须同时提供学位/学历证作为评审材料） （2）需提供投标截止时间前6个月内任意1个月在本单位缴纳的社保证明复印件（证明材料必须由社保局盖章（含电子章）方有效）或劳动合同。</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jc w:val="both"/>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r>
        <w:rPr>
          <w:sz w:val="27"/>
          <w:u w:val="single"/>
        </w:rPr>
        <w:t>城维计划-综合交通规划编制经费（子项11：广州市城市风貌构件方案设计和集采标准）</w:t>
      </w:r>
    </w:p>
    <w:p>
      <w:pPr>
        <w:pStyle w:val="null3"/>
        <w:jc w:val="both"/>
      </w:pPr>
      <w:r>
        <w:rPr/>
        <w:t xml:space="preserve"> </w:t>
      </w:r>
    </w:p>
    <w:p>
      <w:pPr>
        <w:pStyle w:val="null3"/>
        <w:jc w:val="both"/>
      </w:pPr>
      <w:r>
        <w:rPr>
          <w:sz w:val="27"/>
        </w:rPr>
        <w:t>委托方（甲方）：</w:t>
      </w:r>
      <w:r>
        <w:rPr>
          <w:sz w:val="27"/>
          <w:u w:val="single"/>
        </w:rPr>
        <w:t>广州市规划和自然资源局</w:t>
      </w:r>
    </w:p>
    <w:p>
      <w:pPr>
        <w:pStyle w:val="null3"/>
        <w:jc w:val="both"/>
      </w:pPr>
      <w:r>
        <w:rPr/>
        <w:t xml:space="preserve"> </w:t>
      </w:r>
    </w:p>
    <w:p>
      <w:pPr>
        <w:pStyle w:val="null3"/>
        <w:jc w:val="both"/>
      </w:pPr>
      <w:r>
        <w:rPr>
          <w:sz w:val="27"/>
        </w:rPr>
        <w:t>受托方（乙方）：__________________________</w:t>
      </w:r>
    </w:p>
    <w:p>
      <w:pPr>
        <w:pStyle w:val="null3"/>
        <w:jc w:val="both"/>
      </w:pPr>
      <w:r>
        <w:rPr/>
        <w:t xml:space="preserve"> </w:t>
      </w:r>
    </w:p>
    <w:p>
      <w:pPr>
        <w:pStyle w:val="null3"/>
        <w:jc w:val="both"/>
      </w:pPr>
      <w:r>
        <w:rPr>
          <w:sz w:val="27"/>
        </w:rPr>
        <w:t>签订时间：_________________________________</w:t>
      </w:r>
    </w:p>
    <w:p>
      <w:pPr>
        <w:pStyle w:val="null3"/>
        <w:jc w:val="both"/>
      </w:pPr>
      <w:r>
        <w:rPr/>
        <w:t xml:space="preserve"> </w:t>
      </w:r>
    </w:p>
    <w:p>
      <w:pPr>
        <w:pStyle w:val="null3"/>
        <w:jc w:val="both"/>
      </w:pPr>
      <w:r>
        <w:rPr>
          <w:sz w:val="27"/>
        </w:rPr>
        <w:t>签订地点：_________________________________</w:t>
      </w:r>
    </w:p>
    <w:p>
      <w:pPr>
        <w:pStyle w:val="null3"/>
        <w:jc w:val="both"/>
      </w:pPr>
      <w:r>
        <w:rPr/>
        <w:t xml:space="preserve"> </w:t>
      </w:r>
    </w:p>
    <w:p>
      <w:pPr>
        <w:pStyle w:val="null3"/>
        <w:jc w:val="both"/>
      </w:pPr>
      <w:r>
        <w:rPr>
          <w:sz w:val="27"/>
        </w:rPr>
        <w:t>有效期限：_________________________________</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4"/>
          <w:b/>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sz w:val="27"/>
          <w:b/>
        </w:rPr>
        <w:t>填写说明</w:t>
      </w:r>
    </w:p>
    <w:p>
      <w:pPr>
        <w:pStyle w:val="null3"/>
        <w:jc w:val="center"/>
      </w:pPr>
      <w:r>
        <w:rPr>
          <w:sz w:val="24"/>
        </w:rPr>
        <w:t>一、本合同为中华人民共和国科学技术部印制的技术服务合同示范文本，各技术合同认定登记机构可推介技术合同当事人参照使用。</w:t>
      </w:r>
    </w:p>
    <w:p>
      <w:pPr>
        <w:pStyle w:val="null3"/>
        <w:ind w:firstLine="485"/>
        <w:jc w:val="both"/>
      </w:pPr>
      <w:r>
        <w:rPr>
          <w:sz w:val="24"/>
        </w:rPr>
        <w:t>二、本合同书适用于一方当事人（受托方）以技术知识为另一方（委托方）解决特定技术问题所订立的合同。</w:t>
      </w:r>
    </w:p>
    <w:p>
      <w:pPr>
        <w:pStyle w:val="null3"/>
        <w:ind w:firstLine="485"/>
        <w:jc w:val="both"/>
      </w:pPr>
      <w:r>
        <w:rPr>
          <w:sz w:val="24"/>
        </w:rPr>
        <w:t>三、签约一方为多个当事人的，可按各自在合同关系中的作用等，在“委托方”、“受托方”项下（增页）分别排列为共同委托人或共同受托人。</w:t>
      </w:r>
    </w:p>
    <w:p>
      <w:pPr>
        <w:pStyle w:val="null3"/>
        <w:ind w:firstLine="485"/>
        <w:jc w:val="both"/>
      </w:pPr>
      <w:r>
        <w:rPr>
          <w:sz w:val="24"/>
        </w:rPr>
        <w:t>四、本合同书未尽事项，可由当事人附页另行约定，并作为本合同的组成部分。</w:t>
      </w:r>
    </w:p>
    <w:p>
      <w:pPr>
        <w:pStyle w:val="null3"/>
        <w:ind w:firstLine="485"/>
        <w:jc w:val="both"/>
      </w:pPr>
      <w:r>
        <w:rPr>
          <w:sz w:val="24"/>
        </w:rPr>
        <w:t>五、当事人使用本合同书时约定无需填写的条款，应在该条款处注明“无”等字样。</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709"/>
        <w:jc w:val="center"/>
      </w:pPr>
      <w:r>
        <w:rPr>
          <w:sz w:val="27"/>
          <w:b/>
        </w:rPr>
        <w:t>技术服务合同</w:t>
      </w:r>
    </w:p>
    <w:p>
      <w:pPr>
        <w:pStyle w:val="null3"/>
        <w:jc w:val="both"/>
      </w:pPr>
      <w:r>
        <w:rPr>
          <w:sz w:val="24"/>
        </w:rPr>
        <w:t>委托方（甲方）：</w:t>
      </w:r>
      <w:r>
        <w:rPr>
          <w:sz w:val="24"/>
          <w:u w:val="single"/>
        </w:rPr>
        <w:t>广州市规划和自然资源局</w:t>
      </w:r>
    </w:p>
    <w:p>
      <w:pPr>
        <w:pStyle w:val="null3"/>
        <w:jc w:val="both"/>
      </w:pPr>
      <w:r>
        <w:rPr>
          <w:sz w:val="24"/>
        </w:rPr>
        <w:t>住所地：</w:t>
      </w:r>
      <w:r>
        <w:rPr>
          <w:sz w:val="24"/>
          <w:u w:val="single"/>
        </w:rPr>
        <w:t>广州市越秀区吉祥路80号</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r>
        <w:rPr>
          <w:sz w:val="24"/>
          <w:u w:val="single"/>
        </w:rPr>
        <w:t>广州市吉祥路80号</w:t>
      </w:r>
    </w:p>
    <w:p>
      <w:pPr>
        <w:pStyle w:val="null3"/>
        <w:jc w:val="both"/>
      </w:pPr>
      <w:r>
        <w:rPr>
          <w:sz w:val="24"/>
        </w:rPr>
        <w:t>电话：传真：</w:t>
      </w:r>
    </w:p>
    <w:p>
      <w:pPr>
        <w:pStyle w:val="null3"/>
        <w:jc w:val="both"/>
      </w:pPr>
      <w:r>
        <w:rPr>
          <w:sz w:val="24"/>
        </w:rPr>
        <w:t>电子信箱：</w:t>
      </w:r>
    </w:p>
    <w:p>
      <w:pPr>
        <w:pStyle w:val="null3"/>
        <w:jc w:val="both"/>
      </w:pPr>
      <w:r>
        <w:rPr>
          <w:sz w:val="24"/>
        </w:rPr>
        <w:t>受托方（乙方）：</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ind w:firstLine="709"/>
        <w:jc w:val="center"/>
      </w:pPr>
      <w:r>
        <w:rPr>
          <w:sz w:val="24"/>
        </w:rPr>
        <w:t>本合同甲方委托乙方就</w:t>
      </w:r>
      <w:r>
        <w:rPr>
          <w:sz w:val="24"/>
          <w:u w:val="single"/>
        </w:rPr>
        <w:t>城维计划-综合交通规划编制经费（子项11：广州市城市风貌构件方案设计和集采标准）</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w:t>
      </w:r>
      <w:r>
        <w:rPr>
          <w:sz w:val="24"/>
        </w:rPr>
        <w:t>甲方委托乙方进行技术服务的内容如下：</w:t>
      </w:r>
    </w:p>
    <w:p>
      <w:pPr>
        <w:pStyle w:val="null3"/>
        <w:ind w:firstLine="480"/>
        <w:jc w:val="both"/>
      </w:pPr>
      <w:r>
        <w:rPr>
          <w:sz w:val="24"/>
        </w:rPr>
        <w:t>1．技术服务的目标：</w:t>
      </w:r>
      <w:r>
        <w:rPr>
          <w:sz w:val="24"/>
          <w:u w:val="single"/>
        </w:rPr>
        <w:t>为深入贯彻总</w:t>
      </w:r>
      <w:r>
        <w:rPr>
          <w:sz w:val="24"/>
          <w:color w:val="FFFFFF"/>
          <w:u w:val="single"/>
        </w:rPr>
        <w:t>一</w:t>
      </w:r>
      <w:r>
        <w:rPr>
          <w:sz w:val="24"/>
          <w:u w:val="single"/>
        </w:rPr>
        <w:t>书记对广州重要讲话和重要指示批示精神，贯彻落实党的二十届三中</w:t>
      </w:r>
      <w:r>
        <w:rPr>
          <w:sz w:val="24"/>
          <w:color w:val="FFFFFF"/>
        </w:rPr>
        <w:t>一</w:t>
      </w:r>
      <w:r>
        <w:rPr>
          <w:sz w:val="24"/>
          <w:u w:val="single"/>
        </w:rPr>
        <w:t>全会提出的“全面提高城乡规划、建设、治理融合水平”，按照省和市的工作部署，落实国土空间规划要求，提高城市风貌构件的优化管控水平，推动广州整体风貌品质提升和长效管理，打造中心型世界城市品牌，开展《城维计划-综合交通编制经费（子项11：广州市城市风貌构件方案设计和集采标准》技术服务。</w:t>
      </w:r>
    </w:p>
    <w:p>
      <w:pPr>
        <w:pStyle w:val="null3"/>
        <w:ind w:firstLine="480"/>
        <w:jc w:val="both"/>
      </w:pPr>
      <w:r>
        <w:rPr>
          <w:sz w:val="24"/>
        </w:rPr>
        <w:t>2．研究范围：</w:t>
      </w:r>
      <w:r>
        <w:rPr>
          <w:sz w:val="24"/>
          <w:u w:val="single"/>
        </w:rPr>
        <w:t>广州市市域范围。</w:t>
      </w:r>
    </w:p>
    <w:p>
      <w:pPr>
        <w:pStyle w:val="null3"/>
        <w:ind w:firstLine="480"/>
        <w:jc w:val="both"/>
      </w:pPr>
      <w:r>
        <w:rPr>
          <w:sz w:val="24"/>
        </w:rPr>
        <w:t>3．技术服务的内容：</w:t>
      </w:r>
    </w:p>
    <w:p>
      <w:pPr>
        <w:pStyle w:val="null3"/>
        <w:ind w:firstLine="480"/>
        <w:jc w:val="both"/>
      </w:pPr>
      <w:r>
        <w:rPr>
          <w:sz w:val="24"/>
          <w:u w:val="single"/>
        </w:rPr>
        <w:t>（1）调研先进城市构件。</w:t>
      </w:r>
    </w:p>
    <w:p>
      <w:pPr>
        <w:pStyle w:val="null3"/>
        <w:ind w:firstLine="480"/>
        <w:jc w:val="both"/>
      </w:pPr>
      <w:r>
        <w:rPr>
          <w:sz w:val="24"/>
          <w:u w:val="single"/>
        </w:rPr>
        <w:t>一是对广州现状城市风貌构件建设情况开展调研分析，包括现状构件的设置场景、样式标准、相关管理部门需求、厂家情况等；二是开展上海、杭州及北京3座国内先进城市实地调研，对城市风貌构件样式、标准、建设、实施模式等进行分析；三是整理东京、巴黎、伦敦、香港等国际大都市的城市风貌构件样式和建设特点。</w:t>
      </w:r>
    </w:p>
    <w:p>
      <w:pPr>
        <w:pStyle w:val="null3"/>
        <w:ind w:firstLine="480"/>
        <w:jc w:val="both"/>
      </w:pPr>
      <w:r>
        <w:rPr>
          <w:sz w:val="24"/>
          <w:u w:val="single"/>
        </w:rPr>
        <w:t>（2）制定构件清单。</w:t>
      </w:r>
    </w:p>
    <w:p>
      <w:pPr>
        <w:pStyle w:val="null3"/>
        <w:ind w:firstLine="480"/>
        <w:jc w:val="both"/>
      </w:pPr>
      <w:r>
        <w:rPr>
          <w:sz w:val="24"/>
          <w:u w:val="single"/>
        </w:rPr>
        <w:t>根据城市公共空间主要设施分类，结合广州构件建设情况和管理部门需求，确定广州城市风貌构件清单。</w:t>
      </w:r>
    </w:p>
    <w:p>
      <w:pPr>
        <w:pStyle w:val="null3"/>
        <w:ind w:firstLine="480"/>
        <w:jc w:val="both"/>
      </w:pPr>
      <w:r>
        <w:rPr>
          <w:sz w:val="24"/>
          <w:u w:val="single"/>
        </w:rPr>
        <w:t>（3）制定构件建设标准。</w:t>
      </w:r>
    </w:p>
    <w:p>
      <w:pPr>
        <w:pStyle w:val="null3"/>
        <w:ind w:firstLine="480"/>
        <w:jc w:val="both"/>
      </w:pPr>
      <w:r>
        <w:rPr>
          <w:sz w:val="24"/>
          <w:u w:val="single"/>
        </w:rPr>
        <w:t>对标国内外先进城市案例，按照“提质、增效、降本”的总体理念，规范构件设置场景，加强构件美学研究，优化通用样式、细节品质和采购模式，优先使用环保材料，进而制定城市风貌构件“广州标准”，形成建设标准图集纳入集采品目，推动构件集约化、标准化、品质化，营造整洁有序、特色突出的城市公共空间整体风貌。</w:t>
      </w:r>
    </w:p>
    <w:p>
      <w:pPr>
        <w:pStyle w:val="null3"/>
        <w:ind w:firstLine="480"/>
        <w:jc w:val="both"/>
      </w:pPr>
      <w:r>
        <w:rPr>
          <w:sz w:val="24"/>
          <w:u w:val="single"/>
        </w:rPr>
        <w:t>（4）研究构件实施模式。</w:t>
      </w:r>
    </w:p>
    <w:p>
      <w:pPr>
        <w:pStyle w:val="null3"/>
        <w:ind w:firstLine="480"/>
        <w:jc w:val="both"/>
      </w:pPr>
      <w:r>
        <w:rPr>
          <w:sz w:val="24"/>
          <w:u w:val="single"/>
        </w:rPr>
        <w:t>一是结合全运会的城市品质提升工作，率先示范实施。二是集采机制研究，包括集采品目标准制定、集中采购平台建设、采购流程、监测管理体制等内容。三是结合公共投资模式研究，拓宽后续实施资金来源；四是品牌推广研究，结合重点片区建设和城市更新，边做边推，边推边做，形成广州城市风貌构件品牌。</w:t>
      </w:r>
    </w:p>
    <w:p>
      <w:pPr>
        <w:pStyle w:val="null3"/>
        <w:ind w:firstLine="480"/>
        <w:jc w:val="both"/>
      </w:pPr>
      <w:r>
        <w:rPr>
          <w:sz w:val="24"/>
          <w:u w:val="single"/>
        </w:rPr>
        <w:t>（5）规划管控及技术咨询服务</w:t>
      </w:r>
    </w:p>
    <w:p>
      <w:pPr>
        <w:pStyle w:val="null3"/>
        <w:ind w:firstLine="480"/>
        <w:jc w:val="both"/>
      </w:pPr>
      <w:r>
        <w:rPr>
          <w:sz w:val="24"/>
          <w:u w:val="single"/>
        </w:rPr>
        <w:t>根据国家、行业和地区规范和标准，结合广州城市风貌构件设置调研情况，划定构件适用区域以及制定构件设置位置管控要求，推动构件集约化、品质化，塑造高品质城市风貌。</w:t>
      </w:r>
    </w:p>
    <w:p>
      <w:pPr>
        <w:pStyle w:val="null3"/>
        <w:ind w:firstLine="480"/>
        <w:jc w:val="both"/>
      </w:pPr>
      <w:r>
        <w:rPr>
          <w:sz w:val="24"/>
          <w:u w:val="single"/>
        </w:rPr>
        <w:t>对低空起降地面配套设施现状进行摸查，分析用地及管控存在问题，结合国内外相关标准开展选址要求研究，并形成对应的用地要求及规划管控指引措施建议。</w:t>
      </w:r>
    </w:p>
    <w:p>
      <w:pPr>
        <w:pStyle w:val="null3"/>
        <w:ind w:firstLine="480"/>
        <w:jc w:val="both"/>
      </w:pPr>
      <w:r>
        <w:rPr>
          <w:sz w:val="24"/>
          <w:u w:val="single"/>
        </w:rPr>
        <w:t>形成2+3技术成果，即一个总报告、一个技术咨询服务报告，一套构件设计方案、一套构件调研报告、一套构件建设标准。构件设计方案包括项目背景、构件清单、设计理念、构件标准和实施模式，其中实施模式供相关部门组织实施参考；构件调研报告为国内外先进城市风貌构件调研分析；构件建设标准为按照集采要求形成的构件标准图集，包括但不限于种类、规格、色彩、材料、质量、型号等。</w:t>
      </w:r>
    </w:p>
    <w:p>
      <w:pPr>
        <w:pStyle w:val="null3"/>
        <w:ind w:firstLine="480"/>
        <w:jc w:val="both"/>
      </w:pPr>
      <w:r>
        <w:rPr>
          <w:sz w:val="24"/>
        </w:rPr>
        <w:t>4．技术服务的方式：</w:t>
      </w:r>
      <w:r>
        <w:rPr>
          <w:sz w:val="24"/>
          <w:u w:val="single"/>
        </w:rPr>
        <w:t>总价包干</w:t>
      </w:r>
      <w:r>
        <w:rPr>
          <w:sz w:val="24"/>
        </w:rPr>
        <w:t>。</w:t>
      </w:r>
    </w:p>
    <w:p>
      <w:pPr>
        <w:pStyle w:val="null3"/>
        <w:ind w:firstLine="480"/>
        <w:jc w:val="both"/>
      </w:pPr>
      <w:r>
        <w:rPr>
          <w:sz w:val="24"/>
        </w:rPr>
        <w:t>5．</w:t>
      </w:r>
      <w:r>
        <w:rPr>
          <w:sz w:val="24"/>
          <w:u w:val="single"/>
        </w:rPr>
        <w:t>为保证项目工作的持续性，承接单位需提供后续服务保障，协助完成项目报批及成果宣传工作。</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w:t>
      </w:r>
      <w:r>
        <w:rPr>
          <w:sz w:val="24"/>
          <w:u w:val="single"/>
        </w:rPr>
        <w:t>本项目编制期限为自甲方与乙方双方签订合同之日起至2026年12月31日完成。</w:t>
      </w:r>
    </w:p>
    <w:p>
      <w:pPr>
        <w:pStyle w:val="null3"/>
        <w:ind w:firstLine="480"/>
        <w:jc w:val="both"/>
      </w:pPr>
      <w:r>
        <w:rPr>
          <w:sz w:val="24"/>
        </w:rPr>
        <w:t>3．技术服务团队要求：</w:t>
      </w:r>
      <w:r>
        <w:rPr>
          <w:sz w:val="24"/>
          <w:u w:val="single"/>
        </w:rPr>
        <w:t>乙方所提交的项目组成员名单以及项目负责人未经书面申请并获得甲方同意，不得更换。项目汇报应由项目负责人汇报，未经甲方同意不得调整汇报人。</w:t>
      </w:r>
    </w:p>
    <w:p>
      <w:pPr>
        <w:pStyle w:val="null3"/>
        <w:ind w:firstLine="480"/>
        <w:jc w:val="both"/>
      </w:pPr>
      <w:r>
        <w:rPr>
          <w:sz w:val="24"/>
        </w:rPr>
        <w:t>4．技术服务进度：</w:t>
      </w:r>
      <w:r>
        <w:rPr>
          <w:sz w:val="24"/>
          <w:u w:val="single"/>
        </w:rPr>
        <w:t xml:space="preserve">                   </w:t>
      </w:r>
      <w:r>
        <w:rPr>
          <w:sz w:val="24"/>
          <w:u w:val="single"/>
        </w:rPr>
        <w:t>。</w:t>
      </w:r>
    </w:p>
    <w:p>
      <w:pPr>
        <w:pStyle w:val="null3"/>
        <w:ind w:firstLine="480"/>
        <w:jc w:val="both"/>
      </w:pPr>
      <w:r>
        <w:rPr>
          <w:sz w:val="24"/>
        </w:rPr>
        <w:t>5．技术服务质量要求：</w:t>
      </w:r>
    </w:p>
    <w:p>
      <w:pPr>
        <w:pStyle w:val="null3"/>
        <w:ind w:firstLine="480"/>
        <w:jc w:val="both"/>
      </w:pPr>
      <w:r>
        <w:rPr>
          <w:sz w:val="24"/>
          <w:u w:val="single"/>
        </w:rPr>
        <w:t>（1）设计成果内容必须符合需求书中的总则、设计原则、工作内容等有关章节的规定。成果内容要点清晰，具有实操性，能够切实发挥设计对实施的指导作用。</w:t>
      </w:r>
    </w:p>
    <w:p>
      <w:pPr>
        <w:pStyle w:val="null3"/>
        <w:ind w:firstLine="480"/>
        <w:jc w:val="both"/>
      </w:pPr>
      <w:r>
        <w:rPr>
          <w:sz w:val="24"/>
          <w:u w:val="single"/>
        </w:rPr>
        <w:t>（2）成果需提交A4规格的技术文本和A2规格的标准图集，上述文件同时需提供符合项目归档结题的电子文件格式（CAD、DOC、PPT、PDF等文件格式，符合入库标准）,技术文本要以PPT、WORD或PDF格式文件提供，标准图集要以PDF格式文件提供。所有文件应符合行业规范、地方通用标准及甲方要求。</w:t>
      </w:r>
    </w:p>
    <w:p>
      <w:pPr>
        <w:pStyle w:val="null3"/>
        <w:ind w:firstLine="480"/>
        <w:jc w:val="both"/>
      </w:pPr>
      <w:r>
        <w:rPr>
          <w:sz w:val="24"/>
          <w:u w:val="single"/>
        </w:rPr>
        <w:t>（3）所有成果的计量单位均应采用国际标准计量单位。长度单位：总平面图标注尺寸以米（m）为单位，建筑设计图标注尺寸以毫米（mm）为单位；面积单位</w:t>
      </w:r>
      <w:r>
        <w:rPr>
          <w:sz w:val="24"/>
          <w:u w:val="single"/>
        </w:rPr>
        <w:t>：</w:t>
      </w:r>
      <w:r>
        <w:rPr>
          <w:sz w:val="24"/>
          <w:u w:val="single"/>
        </w:rPr>
        <w:t>均以平方米（m2）为单位；体积单位：均以立方米（m3）为单位。</w:t>
      </w:r>
    </w:p>
    <w:p>
      <w:pPr>
        <w:pStyle w:val="null3"/>
        <w:ind w:firstLine="480"/>
        <w:jc w:val="both"/>
      </w:pPr>
      <w:r>
        <w:rPr>
          <w:sz w:val="24"/>
          <w:u w:val="single"/>
        </w:rPr>
        <w:t>（4）乙方可以根据需要提供上述成果要求意外的其他材料。</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由甲乙双方协商确定</w:t>
      </w:r>
    </w:p>
    <w:p>
      <w:pPr>
        <w:pStyle w:val="null3"/>
        <w:ind w:firstLine="480"/>
        <w:jc w:val="both"/>
      </w:pPr>
      <w:r>
        <w:rPr>
          <w:sz w:val="24"/>
        </w:rPr>
        <w:t>2．提供工作条件：</w:t>
      </w:r>
    </w:p>
    <w:p>
      <w:pPr>
        <w:pStyle w:val="null3"/>
        <w:ind w:firstLine="480"/>
        <w:jc w:val="both"/>
      </w:pPr>
      <w:r>
        <w:rPr>
          <w:sz w:val="24"/>
        </w:rPr>
        <w:t>（1）</w:t>
      </w:r>
      <w:r>
        <w:rPr>
          <w:sz w:val="24"/>
          <w:u w:val="single"/>
        </w:rPr>
        <w:t>协助开展资料收集及现场调查</w:t>
      </w:r>
    </w:p>
    <w:p>
      <w:pPr>
        <w:pStyle w:val="null3"/>
        <w:ind w:firstLine="480"/>
        <w:jc w:val="both"/>
      </w:pPr>
      <w:r>
        <w:rPr>
          <w:sz w:val="24"/>
        </w:rPr>
        <w:t>（2）</w:t>
      </w:r>
      <w:r>
        <w:rPr>
          <w:sz w:val="24"/>
          <w:u w:val="single"/>
        </w:rPr>
        <w:t>负责协调有关部门</w:t>
      </w:r>
    </w:p>
    <w:p>
      <w:pPr>
        <w:pStyle w:val="null3"/>
        <w:ind w:firstLine="480"/>
        <w:jc w:val="both"/>
      </w:pPr>
      <w:r>
        <w:rPr>
          <w:sz w:val="24"/>
        </w:rPr>
        <w:t>3．其他：</w:t>
      </w:r>
      <w:r>
        <w:rPr>
          <w:sz w:val="24"/>
          <w:u w:val="single"/>
        </w:rPr>
        <w:t>负责组织成果评审和报审</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w:t>
      </w:r>
      <w:r>
        <w:rPr>
          <w:sz w:val="24"/>
        </w:rPr>
        <w:t>：甲方向乙方支付技术服务报酬及支付方式为：</w:t>
      </w:r>
    </w:p>
    <w:p>
      <w:pPr>
        <w:pStyle w:val="null3"/>
        <w:ind w:firstLine="480"/>
        <w:jc w:val="both"/>
      </w:pPr>
      <w:r>
        <w:rPr>
          <w:sz w:val="24"/>
        </w:rPr>
        <w:t>1．技术服务费总额为：</w:t>
      </w:r>
      <w:r>
        <w:rPr>
          <w:sz w:val="24"/>
          <w:u w:val="single"/>
        </w:rPr>
        <w:t>（中标总价）</w:t>
      </w:r>
    </w:p>
    <w:p>
      <w:pPr>
        <w:pStyle w:val="null3"/>
        <w:ind w:firstLine="480"/>
        <w:jc w:val="both"/>
      </w:pPr>
      <w:r>
        <w:rPr>
          <w:sz w:val="24"/>
        </w:rPr>
        <w:t>2．技术服务费由甲方</w:t>
      </w:r>
      <w:r>
        <w:rPr>
          <w:sz w:val="24"/>
          <w:u w:val="single"/>
        </w:rPr>
        <w:t>分三期</w:t>
      </w:r>
      <w:r>
        <w:rPr>
          <w:sz w:val="24"/>
        </w:rPr>
        <w:t>支付乙方。</w:t>
      </w:r>
    </w:p>
    <w:p>
      <w:pPr>
        <w:pStyle w:val="null3"/>
        <w:ind w:firstLine="480"/>
        <w:jc w:val="both"/>
      </w:pPr>
      <w:r>
        <w:rPr>
          <w:sz w:val="24"/>
        </w:rPr>
        <w:t>具体支付方式和时间如下：</w:t>
      </w:r>
    </w:p>
    <w:p>
      <w:pPr>
        <w:pStyle w:val="null3"/>
        <w:ind w:firstLine="480"/>
        <w:jc w:val="both"/>
      </w:pPr>
      <w:r>
        <w:rPr>
          <w:sz w:val="24"/>
        </w:rPr>
        <w:t>（1）签订合同后，甲方自收到发票后5个工作日内向乙方支付本项目合同总金额的40%，即人民币(大写)：</w:t>
      </w:r>
      <w:r>
        <w:rPr>
          <w:sz w:val="24"/>
          <w:u w:val="single"/>
        </w:rPr>
        <w:t xml:space="preserve">                  </w:t>
      </w:r>
      <w:r>
        <w:rPr>
          <w:sz w:val="24"/>
        </w:rPr>
        <w:t>元整；(小写)：￥</w:t>
      </w:r>
      <w:r>
        <w:rPr>
          <w:sz w:val="24"/>
          <w:u w:val="single"/>
        </w:rPr>
        <w:t xml:space="preserve">                 </w:t>
      </w:r>
      <w:r>
        <w:rPr>
          <w:sz w:val="24"/>
        </w:rPr>
        <w:t>。预计在2025年3月31日前支付第一期费用。</w:t>
      </w:r>
    </w:p>
    <w:p>
      <w:pPr>
        <w:pStyle w:val="null3"/>
        <w:ind w:firstLine="480"/>
        <w:jc w:val="both"/>
      </w:pPr>
      <w:r>
        <w:rPr>
          <w:sz w:val="24"/>
        </w:rPr>
        <w:t>（2）2025年9月30日前，乙方按期完成规划成果，并通过专家评审后申请拨付合同经费，合同总金额的20%，即人民币(大写)：</w:t>
      </w:r>
      <w:r>
        <w:rPr>
          <w:sz w:val="24"/>
          <w:u w:val="single"/>
        </w:rPr>
        <w:t xml:space="preserve">                 </w:t>
      </w:r>
      <w:r>
        <w:rPr>
          <w:sz w:val="24"/>
        </w:rPr>
        <w:t>元整；(小写)：￥</w:t>
      </w:r>
      <w:r>
        <w:rPr>
          <w:sz w:val="24"/>
          <w:u w:val="single"/>
        </w:rPr>
        <w:t xml:space="preserve">                 </w:t>
      </w:r>
      <w:r>
        <w:rPr>
          <w:sz w:val="24"/>
        </w:rPr>
        <w:t>。预计在2025年9月30日前支付第二期费用。</w:t>
      </w:r>
    </w:p>
    <w:p>
      <w:pPr>
        <w:pStyle w:val="null3"/>
        <w:ind w:firstLine="480"/>
        <w:jc w:val="both"/>
      </w:pPr>
      <w:r>
        <w:rPr>
          <w:sz w:val="24"/>
        </w:rPr>
        <w:t>（3）2025年12月31日前，乙方根据甲方审查意见修改规划成果。最终成果经甲方验收通过并出具结题函，待成果归档后申请拨付合同经费，合同总金额的40%，即人民币(大写)：</w:t>
      </w:r>
      <w:r>
        <w:rPr>
          <w:sz w:val="24"/>
          <w:u w:val="single"/>
        </w:rPr>
        <w:t xml:space="preserve">                 </w:t>
      </w:r>
      <w:r>
        <w:rPr>
          <w:sz w:val="24"/>
        </w:rPr>
        <w:t>元整；(小写)：￥</w:t>
      </w:r>
      <w:r>
        <w:rPr>
          <w:sz w:val="24"/>
          <w:u w:val="single"/>
        </w:rPr>
        <w:t xml:space="preserve">                 </w:t>
      </w:r>
      <w:r>
        <w:rPr>
          <w:sz w:val="24"/>
        </w:rPr>
        <w:t>。预计在2026年1月31日前支付第三期费用。</w:t>
      </w:r>
    </w:p>
    <w:p>
      <w:pPr>
        <w:pStyle w:val="null3"/>
        <w:ind w:firstLine="480"/>
        <w:jc w:val="both"/>
      </w:pPr>
      <w:r>
        <w:rPr>
          <w:sz w:val="24"/>
        </w:rPr>
        <w:t>（4）对于满足合同支付条件的，甲方原则上应当在收到发票后5个工作日内按照《广州市本级财政直接支付用款申请办事指南》办理支付手续。</w:t>
      </w:r>
    </w:p>
    <w:p>
      <w:pPr>
        <w:pStyle w:val="null3"/>
        <w:ind w:firstLine="480"/>
        <w:jc w:val="both"/>
      </w:pPr>
      <w:r>
        <w:rPr>
          <w:sz w:val="24"/>
        </w:rPr>
        <w:t>（5）每次按合同支付款项前，乙方应向甲方提供与支付金额相符的有效发票，且收款方、出具发票方、合同乙方均必须与乙方名称一致。</w:t>
      </w:r>
    </w:p>
    <w:p>
      <w:pPr>
        <w:pStyle w:val="null3"/>
        <w:ind w:firstLine="480"/>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80"/>
        <w:jc w:val="both"/>
      </w:pPr>
      <w:r>
        <w:rPr>
          <w:sz w:val="24"/>
        </w:rPr>
        <w:t>乙方开户银行名称、地址和账号为：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1．保密内容（包括技术信息和经营信息）:</w:t>
      </w:r>
      <w:r>
        <w:rPr>
          <w:sz w:val="24"/>
          <w:u w:val="single"/>
        </w:rPr>
        <w:t>全部研究成果，包括各种因使用本项目经费而获得的资料、研究成果的文本和电子文件；</w:t>
      </w:r>
    </w:p>
    <w:p>
      <w:pPr>
        <w:pStyle w:val="null3"/>
        <w:ind w:firstLine="480"/>
        <w:jc w:val="both"/>
      </w:pPr>
      <w:r>
        <w:rPr>
          <w:sz w:val="24"/>
        </w:rPr>
        <w:t>2．涉密人员范围:</w:t>
      </w:r>
      <w:r>
        <w:rPr>
          <w:sz w:val="24"/>
          <w:u w:val="single"/>
        </w:rPr>
        <w:t>参与本项工作的人员；</w:t>
      </w:r>
    </w:p>
    <w:p>
      <w:pPr>
        <w:pStyle w:val="null3"/>
        <w:ind w:firstLine="480"/>
        <w:jc w:val="both"/>
      </w:pPr>
      <w:r>
        <w:rPr>
          <w:sz w:val="24"/>
        </w:rPr>
        <w:t>3．保密期限：</w:t>
      </w:r>
      <w:r>
        <w:rPr>
          <w:sz w:val="24"/>
          <w:u w:val="single"/>
        </w:rPr>
        <w:t>合同履行期限内必须执行保密约定，合同履行期限届满后按照法律、法规、规章、规范性文件等规定执行</w:t>
      </w:r>
      <w:r>
        <w:rPr>
          <w:sz w:val="24"/>
        </w:rPr>
        <w:t>；</w:t>
      </w:r>
    </w:p>
    <w:p>
      <w:pPr>
        <w:pStyle w:val="null3"/>
        <w:ind w:firstLine="480"/>
        <w:jc w:val="both"/>
      </w:pPr>
      <w:r>
        <w:rPr>
          <w:sz w:val="24"/>
        </w:rPr>
        <w:t>4．泄密责任：</w:t>
      </w:r>
      <w:r>
        <w:rPr>
          <w:sz w:val="24"/>
          <w:u w:val="single"/>
        </w:rPr>
        <w:t>按照法律规定承担有关责任</w:t>
      </w:r>
      <w:r>
        <w:rPr>
          <w:sz w:val="24"/>
        </w:rPr>
        <w:t>。</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0"/>
        <w:jc w:val="both"/>
      </w:pPr>
      <w:r>
        <w:rPr>
          <w:sz w:val="24"/>
        </w:rPr>
        <w:t>2．</w:t>
      </w:r>
      <w:r>
        <w:rPr>
          <w:sz w:val="24"/>
          <w:u w:val="single"/>
        </w:rPr>
        <w:t>项目建议书变更</w:t>
      </w:r>
    </w:p>
    <w:p>
      <w:pPr>
        <w:pStyle w:val="null3"/>
        <w:ind w:firstLine="482"/>
        <w:jc w:val="both"/>
      </w:pPr>
      <w:r>
        <w:rPr>
          <w:sz w:val="24"/>
          <w:b/>
        </w:rPr>
        <w:t>第七条：</w:t>
      </w:r>
      <w:r>
        <w:rPr>
          <w:sz w:val="24"/>
        </w:rPr>
        <w:t>双方确定以下列标准和方式对乙方的技术服务工作成果进行验收：</w:t>
      </w:r>
    </w:p>
    <w:p>
      <w:pPr>
        <w:pStyle w:val="null3"/>
        <w:ind w:firstLine="480"/>
        <w:jc w:val="both"/>
      </w:pPr>
      <w:r>
        <w:rPr>
          <w:sz w:val="24"/>
        </w:rPr>
        <w:t>1．乙方完成技术服务工作的形式：</w:t>
      </w:r>
      <w:r>
        <w:rPr>
          <w:sz w:val="24"/>
          <w:u w:val="single"/>
        </w:rPr>
        <w:t>本项工作采取分阶段评审的方式，广州市规划和自然资源局负责组织审查工作</w:t>
      </w:r>
      <w:r>
        <w:rPr>
          <w:sz w:val="24"/>
        </w:rPr>
        <w:t>。</w:t>
      </w:r>
    </w:p>
    <w:p>
      <w:pPr>
        <w:pStyle w:val="null3"/>
        <w:ind w:firstLine="480"/>
        <w:jc w:val="both"/>
      </w:pPr>
      <w:r>
        <w:rPr>
          <w:sz w:val="24"/>
        </w:rPr>
        <w:t>2．技术服务工作成果的验收标准：</w:t>
      </w:r>
      <w:r>
        <w:rPr>
          <w:sz w:val="24"/>
          <w:u w:val="single"/>
        </w:rPr>
        <w:t>符合项目任务书研究内容的要求，且通过甲方组织的专家审查会审查</w:t>
      </w:r>
      <w:r>
        <w:rPr>
          <w:sz w:val="24"/>
        </w:rPr>
        <w:t>。</w:t>
      </w:r>
    </w:p>
    <w:p>
      <w:pPr>
        <w:pStyle w:val="null3"/>
        <w:ind w:firstLine="480"/>
        <w:jc w:val="both"/>
      </w:pPr>
      <w:r>
        <w:rPr>
          <w:sz w:val="24"/>
        </w:rPr>
        <w:t>3．技术服务工作成果的验收方法：</w:t>
      </w:r>
      <w:r>
        <w:rPr>
          <w:sz w:val="24"/>
          <w:u w:val="single"/>
        </w:rPr>
        <w:t>研究成果由广州市规划和自然资源局组织审查；项目承担单位负责提供审查和验收所必须的研究成果和汇报资料</w:t>
      </w:r>
      <w:r>
        <w:rPr>
          <w:sz w:val="24"/>
        </w:rPr>
        <w:t>。</w:t>
      </w:r>
    </w:p>
    <w:p>
      <w:pPr>
        <w:pStyle w:val="null3"/>
        <w:ind w:firstLine="480"/>
        <w:jc w:val="both"/>
      </w:pPr>
      <w:r>
        <w:rPr>
          <w:sz w:val="24"/>
        </w:rPr>
        <w:t>4．验收的时间和地点：</w:t>
      </w:r>
      <w:r>
        <w:rPr>
          <w:sz w:val="24"/>
          <w:u w:val="single"/>
        </w:rPr>
        <w:t>由甲方决定</w:t>
      </w:r>
      <w:r>
        <w:rPr>
          <w:sz w:val="24"/>
        </w:rPr>
        <w:t>。</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2"/>
        <w:jc w:val="both"/>
      </w:pPr>
      <w:r>
        <w:rPr>
          <w:sz w:val="24"/>
          <w:b/>
        </w:rPr>
        <w:t>第九条</w:t>
      </w:r>
      <w:r>
        <w:rPr>
          <w:sz w:val="24"/>
        </w:rPr>
        <w:t>：双方确定，按以下约定承担各自的违约责任：</w:t>
      </w:r>
    </w:p>
    <w:p>
      <w:pPr>
        <w:pStyle w:val="null3"/>
        <w:ind w:firstLine="480"/>
        <w:jc w:val="both"/>
      </w:pPr>
      <w:r>
        <w:rPr>
          <w:sz w:val="24"/>
          <w:u w:val="single"/>
        </w:rPr>
        <w:t>1．因甲方原因，甲方未能按时提供乙方所需的基础资料和信息，以至使乙方难以按期完成各阶段工作任务，后果由甲方承担，乙方可将完成工作任务时间顺延。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2．因甲方原因，甲方未能在合同规定的时间内向乙方支付合同款，每逾期一天，甲方向乙方支付预期未付金额的1%的违约金，支付违约金总金额不超合同总金额的10%。</w:t>
      </w:r>
    </w:p>
    <w:p>
      <w:pPr>
        <w:pStyle w:val="null3"/>
        <w:ind w:firstLine="480"/>
        <w:jc w:val="both"/>
      </w:pPr>
      <w:r>
        <w:rPr>
          <w:sz w:val="24"/>
          <w:u w:val="single"/>
        </w:rPr>
        <w:t>3．因乙方原因，未能在合同规定时间内向甲方交付项目成果，每逾期一天，乙方向甲方支付合同总费用1‰的违约金,支付违约金总金额不超项目总金额的10%。乙方逾期超过  30  天的，甲方有权解除本合同，乙方应在合同解除后  5  天内返还已收取的全部款项，并向甲方支付不超过合同总金额的 10 %的违约金。</w:t>
      </w:r>
    </w:p>
    <w:p>
      <w:pPr>
        <w:pStyle w:val="null3"/>
        <w:ind w:firstLine="480"/>
        <w:jc w:val="both"/>
      </w:pPr>
      <w:r>
        <w:rPr>
          <w:sz w:val="24"/>
          <w:u w:val="single"/>
        </w:rPr>
        <w:t>4．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80"/>
        <w:jc w:val="both"/>
      </w:pPr>
      <w:r>
        <w:rPr>
          <w:sz w:val="24"/>
          <w:u w:val="single"/>
        </w:rPr>
        <w:t>5．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82"/>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80"/>
        <w:jc w:val="both"/>
      </w:pPr>
      <w:r>
        <w:rPr>
          <w:sz w:val="24"/>
        </w:rPr>
        <w:t>1．</w:t>
      </w:r>
      <w:r>
        <w:rPr>
          <w:sz w:val="24"/>
          <w:u w:val="single"/>
        </w:rPr>
        <w:t>项目编制过程中的沟通、协调工作；</w:t>
      </w:r>
    </w:p>
    <w:p>
      <w:pPr>
        <w:pStyle w:val="null3"/>
        <w:ind w:firstLine="480"/>
        <w:jc w:val="both"/>
      </w:pPr>
      <w:r>
        <w:rPr>
          <w:sz w:val="24"/>
        </w:rPr>
        <w:t>2．</w:t>
      </w:r>
      <w:r>
        <w:rPr>
          <w:sz w:val="24"/>
          <w:u w:val="single"/>
        </w:rPr>
        <w:t>项目成果的报审、报批工作；</w:t>
      </w:r>
    </w:p>
    <w:p>
      <w:pPr>
        <w:pStyle w:val="null3"/>
        <w:ind w:firstLine="480"/>
        <w:jc w:val="both"/>
      </w:pPr>
      <w:r>
        <w:rPr>
          <w:sz w:val="24"/>
        </w:rPr>
        <w:t>3．</w:t>
      </w:r>
      <w:r>
        <w:rPr>
          <w:sz w:val="24"/>
          <w:u w:val="single"/>
        </w:rPr>
        <w:t>其他项目相关工作。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发生不可抗力；</w:t>
      </w:r>
    </w:p>
    <w:p>
      <w:pPr>
        <w:pStyle w:val="null3"/>
        <w:ind w:firstLine="480"/>
        <w:jc w:val="both"/>
      </w:pPr>
      <w:r>
        <w:rPr>
          <w:sz w:val="24"/>
        </w:rPr>
        <w:t>2．</w:t>
      </w:r>
      <w:r>
        <w:rPr>
          <w:sz w:val="24"/>
          <w:u w:val="single"/>
        </w:rPr>
        <w:t>履行期限满前，一方明确表示或者以自己的行为表明不履行合同的；</w:t>
      </w:r>
    </w:p>
    <w:p>
      <w:pPr>
        <w:pStyle w:val="null3"/>
        <w:ind w:firstLine="480"/>
        <w:jc w:val="both"/>
      </w:pPr>
      <w:r>
        <w:rPr>
          <w:sz w:val="24"/>
        </w:rPr>
        <w:t>3．</w:t>
      </w:r>
      <w:r>
        <w:rPr>
          <w:sz w:val="24"/>
          <w:u w:val="single"/>
        </w:rPr>
        <w:t>一方延迟履行合同，经催告后在合理期限内仍未履行合同的；</w:t>
      </w:r>
    </w:p>
    <w:p>
      <w:pPr>
        <w:pStyle w:val="null3"/>
        <w:ind w:firstLine="480"/>
        <w:jc w:val="both"/>
      </w:pPr>
      <w:r>
        <w:rPr>
          <w:sz w:val="24"/>
        </w:rPr>
        <w:t>4．</w:t>
      </w:r>
      <w:r>
        <w:rPr>
          <w:sz w:val="24"/>
          <w:u w:val="single"/>
        </w:rPr>
        <w:t>一方迟延履行或者有其它违约行为致使不能实现合同目的的。</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：双方约定本合同其他相关事项为：</w:t>
      </w:r>
    </w:p>
    <w:p>
      <w:pPr>
        <w:pStyle w:val="null3"/>
        <w:ind w:firstLine="480"/>
        <w:jc w:val="both"/>
      </w:pPr>
      <w:r>
        <w:rPr>
          <w:sz w:val="24"/>
        </w:rPr>
        <w:t>1.</w:t>
      </w:r>
      <w:r>
        <w:rPr>
          <w:sz w:val="24"/>
          <w:u w:val="single"/>
        </w:rPr>
        <w:t>本合同未尽事宜，双方应本着友好合作的原则，另行商议并写入补充条款。所有修改或补充条款都视为本合同的组成部分，具有与其它条款同等的法律效力。</w:t>
      </w:r>
    </w:p>
    <w:p>
      <w:pPr>
        <w:pStyle w:val="null3"/>
        <w:ind w:firstLine="480"/>
        <w:jc w:val="both"/>
      </w:pPr>
      <w:r>
        <w:rPr>
          <w:sz w:val="24"/>
        </w:rPr>
        <w:t>2</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3.乙方需配合甲方派驻场服务人员1~2名，驻场服务人员所需办公设备费用由乙方承担。</w:t>
      </w:r>
    </w:p>
    <w:p>
      <w:pPr>
        <w:pStyle w:val="null3"/>
        <w:ind w:firstLine="480"/>
        <w:jc w:val="both"/>
      </w:pPr>
      <w:r>
        <w:rPr>
          <w:sz w:val="24"/>
          <w:u w:val="single"/>
        </w:rPr>
        <w:t>4.乙方不得对整个项目进行转包，不得进行分包。</w:t>
      </w:r>
    </w:p>
    <w:p>
      <w:pPr>
        <w:pStyle w:val="null3"/>
        <w:ind w:firstLine="482"/>
        <w:jc w:val="both"/>
      </w:pPr>
      <w:r>
        <w:rPr>
          <w:sz w:val="24"/>
          <w:b/>
        </w:rPr>
        <w:t>第十五条</w:t>
      </w:r>
      <w:r>
        <w:rPr>
          <w:sz w:val="24"/>
        </w:rPr>
        <w:t>：本合同一式</w:t>
      </w:r>
      <w:r>
        <w:rPr>
          <w:sz w:val="24"/>
          <w:u w:val="single"/>
        </w:rPr>
        <w:t>柒</w:t>
      </w:r>
      <w:r>
        <w:rPr>
          <w:sz w:val="24"/>
        </w:rPr>
        <w:t>份，甲乙双方各执</w:t>
      </w:r>
      <w:r>
        <w:rPr>
          <w:sz w:val="24"/>
          <w:u w:val="single"/>
        </w:rPr>
        <w:t>叁</w:t>
      </w:r>
      <w:r>
        <w:rPr>
          <w:sz w:val="24"/>
        </w:rPr>
        <w:t>份，采购代理机构壹份，具有同等法律效力。</w:t>
      </w:r>
    </w:p>
    <w:p>
      <w:pPr>
        <w:pStyle w:val="null3"/>
        <w:ind w:firstLine="482"/>
        <w:jc w:val="both"/>
      </w:pPr>
      <w:r>
        <w:rPr>
          <w:sz w:val="24"/>
          <w:b/>
        </w:rPr>
        <w:t>第十六条</w:t>
      </w:r>
      <w:r>
        <w:rPr>
          <w:sz w:val="24"/>
        </w:rPr>
        <w:t>：本合同经双方签字盖章后生效。</w:t>
      </w:r>
    </w:p>
    <w:p>
      <w:pPr>
        <w:pStyle w:val="null3"/>
        <w:ind w:firstLine="480"/>
        <w:jc w:val="both"/>
      </w:pPr>
      <w:r>
        <w:rPr>
          <w:sz w:val="24"/>
        </w:rPr>
        <w:t>甲方：</w:t>
      </w:r>
      <w:r>
        <w:rPr>
          <w:sz w:val="24"/>
          <w:u w:val="single"/>
        </w:rPr>
        <w:t>广州市规划和自然资源局（盖章）</w:t>
      </w:r>
    </w:p>
    <w:p>
      <w:pPr>
        <w:pStyle w:val="null3"/>
        <w:ind w:firstLine="480"/>
        <w:jc w:val="both"/>
      </w:pPr>
      <w:r>
        <w:rPr>
          <w:sz w:val="24"/>
        </w:rPr>
        <w:t>法定代表人／委托代理人：</w:t>
      </w:r>
      <w:r>
        <w:rPr>
          <w:sz w:val="24"/>
          <w:u w:val="single"/>
        </w:rPr>
        <w:t>　　　　　　　　（签名）</w:t>
      </w:r>
      <w:r>
        <w:rPr>
          <w:sz w:val="24"/>
        </w:rPr>
        <w:t>　</w:t>
      </w:r>
    </w:p>
    <w:p>
      <w:pPr>
        <w:pStyle w:val="null3"/>
        <w:ind w:firstLine="480"/>
        <w:jc w:val="both"/>
      </w:pPr>
      <w:r>
        <w:rPr>
          <w:sz w:val="24"/>
        </w:rPr>
        <w:t xml:space="preserve">    年     月    日</w:t>
      </w:r>
    </w:p>
    <w:p>
      <w:pPr>
        <w:pStyle w:val="null3"/>
        <w:ind w:firstLine="480"/>
        <w:jc w:val="both"/>
      </w:pPr>
      <w:r>
        <w:rPr>
          <w:sz w:val="24"/>
        </w:rPr>
        <w:t>乙方：</w:t>
      </w:r>
      <w:r>
        <w:rPr>
          <w:sz w:val="24"/>
          <w:u w:val="single"/>
        </w:rPr>
        <w:t>（盖章）</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印花税票粘贴处：</w:t>
      </w:r>
    </w:p>
    <w:p>
      <w:pPr>
        <w:pStyle w:val="null3"/>
        <w:ind w:firstLine="480"/>
        <w:jc w:val="both"/>
      </w:pPr>
      <w:r>
        <w:rPr>
          <w:sz w:val="24"/>
        </w:rPr>
        <w:t>（以下由技术合同登记机构填写）</w:t>
      </w:r>
    </w:p>
    <w:p>
      <w:pPr>
        <w:pStyle w:val="null3"/>
        <w:ind w:firstLine="480"/>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09"/>
        <w:gridCol w:w="421"/>
        <w:gridCol w:w="421"/>
        <w:gridCol w:w="409"/>
        <w:gridCol w:w="409"/>
        <w:gridCol w:w="409"/>
        <w:gridCol w:w="397"/>
        <w:gridCol w:w="445"/>
        <w:gridCol w:w="445"/>
        <w:gridCol w:w="409"/>
        <w:gridCol w:w="409"/>
        <w:gridCol w:w="409"/>
        <w:gridCol w:w="397"/>
        <w:gridCol w:w="421"/>
        <w:gridCol w:w="421"/>
        <w:gridCol w:w="42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1．申请登记人：</w:t>
      </w:r>
    </w:p>
    <w:p>
      <w:pPr>
        <w:pStyle w:val="null3"/>
        <w:ind w:firstLine="480"/>
        <w:jc w:val="both"/>
      </w:pPr>
      <w:r>
        <w:rPr>
          <w:sz w:val="24"/>
        </w:rPr>
        <w:t>2．登记材料：（1）</w:t>
      </w:r>
    </w:p>
    <w:p>
      <w:pPr>
        <w:pStyle w:val="null3"/>
        <w:ind w:firstLine="480"/>
        <w:jc w:val="both"/>
      </w:pPr>
      <w:r>
        <w:rPr>
          <w:sz w:val="24"/>
        </w:rPr>
        <w:t>（2）</w:t>
      </w:r>
    </w:p>
    <w:p>
      <w:pPr>
        <w:pStyle w:val="null3"/>
        <w:ind w:firstLine="480"/>
        <w:jc w:val="both"/>
      </w:pPr>
      <w:r>
        <w:rPr>
          <w:sz w:val="24"/>
        </w:rPr>
        <w:t>（3）</w:t>
      </w:r>
    </w:p>
    <w:p>
      <w:pPr>
        <w:pStyle w:val="null3"/>
        <w:ind w:firstLine="480"/>
        <w:jc w:val="both"/>
      </w:pPr>
      <w:r>
        <w:rPr>
          <w:sz w:val="24"/>
        </w:rPr>
        <w:t>3．合同类型：</w:t>
      </w:r>
    </w:p>
    <w:p>
      <w:pPr>
        <w:pStyle w:val="null3"/>
        <w:ind w:firstLine="480"/>
        <w:jc w:val="both"/>
      </w:pPr>
      <w:r>
        <w:rPr>
          <w:sz w:val="24"/>
        </w:rPr>
        <w:t>4．合同交易额：</w:t>
      </w:r>
    </w:p>
    <w:p>
      <w:pPr>
        <w:pStyle w:val="null3"/>
        <w:ind w:firstLine="480"/>
        <w:jc w:val="both"/>
      </w:pPr>
      <w:r>
        <w:rPr>
          <w:sz w:val="24"/>
        </w:rPr>
        <w:t>5．技术交易额：</w:t>
      </w:r>
    </w:p>
    <w:p>
      <w:pPr>
        <w:pStyle w:val="null3"/>
        <w:ind w:firstLine="480"/>
        <w:jc w:val="both"/>
      </w:pPr>
      <w:r>
        <w:rPr>
          <w:sz w:val="24"/>
        </w:rPr>
        <w:t xml:space="preserve">技术合同登记机构（印章）       </w:t>
      </w:r>
    </w:p>
    <w:p>
      <w:pPr>
        <w:pStyle w:val="null3"/>
        <w:ind w:firstLine="480"/>
        <w:jc w:val="right"/>
      </w:pPr>
      <w:r>
        <w:rPr>
          <w:sz w:val="24"/>
        </w:rPr>
        <w:t xml:space="preserve">经办人：          </w:t>
      </w:r>
    </w:p>
    <w:p>
      <w:pPr>
        <w:pStyle w:val="null3"/>
        <w:ind w:firstLine="480"/>
        <w:jc w:val="right"/>
      </w:pPr>
      <w:r>
        <w:rPr>
          <w:sz w:val="24"/>
        </w:rPr>
        <w:t xml:space="preserve">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440101-2025-01948</w:t>
      </w:r>
    </w:p>
    <w:p>
      <w:pPr>
        <w:pStyle w:val="null3"/>
        <w:jc w:val="center"/>
        <w:outlineLvl w:val="3"/>
      </w:pPr>
      <w:r>
        <w:rPr>
          <w:sz w:val="24"/>
          <w:b/>
        </w:rPr>
        <w:t>采购项目编号：</w:t>
      </w:r>
      <w:r>
        <w:rPr>
          <w:sz w:val="24"/>
          <w:b/>
        </w:rPr>
        <w:t>GZCQC2500FG01008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城维计划-综合交通规划编制经费（子项11：广州市城市风貌构件方案设计和集采标准）</w:t>
      </w:r>
      <w:r>
        <w:rPr>
          <w:u w:val="single"/>
        </w:rPr>
        <w:t>”</w:t>
      </w:r>
      <w:r>
        <w:rPr/>
        <w:t>项目的招标[采购项目编号为：</w:t>
      </w:r>
      <w:r>
        <w:rPr>
          <w:u w:val="single"/>
        </w:rPr>
        <w:t>GZCQC2500FG01008</w:t>
      </w:r>
      <w:r>
        <w:rPr/>
        <w:t>]，我方愿参与投标。</w:t>
      </w:r>
    </w:p>
    <w:p>
      <w:pPr>
        <w:pStyle w:val="null3"/>
        <w:ind w:firstLine="480"/>
      </w:pPr>
      <w:r>
        <w:rPr/>
        <w:t>我方确认收到贵方提供的</w:t>
      </w:r>
      <w:r>
        <w:rPr>
          <w:u w:val="single"/>
        </w:rPr>
        <w:t>“</w:t>
      </w:r>
      <w:r>
        <w:rPr>
          <w:u w:val="single"/>
        </w:rPr>
        <w:t>城维计划-综合交通规划编制经费（子项11：广州市城市风貌构件方案设计和集采标准）</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城维计划-综合交通规划编制经费（子项11：广州市城市风貌构件方案设计和集采标准）</w:t>
      </w:r>
      <w:r>
        <w:rPr/>
        <w:t>”项目采购[采购项目编号为</w:t>
      </w:r>
      <w:r>
        <w:rPr/>
        <w:t>GZCQC2500FG01008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城维计划-综合交通规划编制经费（子项11：广州市城市风貌构件方案设计和集采标准）</w:t>
      </w:r>
      <w:r>
        <w:rPr/>
        <w:t>招标中获中标（采购项目编号：</w:t>
      </w:r>
      <w:r>
        <w:rPr/>
        <w:t>GZCQC2500FG01008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