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440101-2024-23864</w:t>
      </w:r>
    </w:p>
    <w:p>
      <w:pPr>
        <w:pStyle w:val="null3"/>
        <w:jc w:val="center"/>
        <w:outlineLvl w:val="3"/>
      </w:pPr>
      <w:r>
        <w:rPr>
          <w:sz w:val="24"/>
          <w:b/>
        </w:rPr>
        <w:t>采购项目编号：</w:t>
      </w:r>
      <w:r>
        <w:rPr>
          <w:sz w:val="24"/>
          <w:b/>
        </w:rPr>
        <w:t>GZCQC2400FG11011</w:t>
      </w:r>
    </w:p>
    <w:p>
      <w:pPr>
        <w:pStyle w:val="null3"/>
        <w:jc w:val="center"/>
        <w:outlineLvl w:val="3"/>
      </w:pPr>
      <w:r>
        <w:rPr>
          <w:sz w:val="24"/>
          <w:b/>
        </w:rPr>
        <w:t>项目名称：</w:t>
      </w:r>
      <w:r>
        <w:rPr>
          <w:sz w:val="24"/>
          <w:b/>
        </w:rPr>
        <w:t>重点地区及重要专项领域规划编制经费—广州市“平急两用”公共基础设施建设总体规划</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重点地区及重要专项领域规划编制经费—广州市“平急两用”公共基础设施建设总体规划</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重点地区及重要专项领域规划编制经费—广州市“平急两用”公共基础设施建设总体规划</w:t>
      </w:r>
    </w:p>
    <w:p>
      <w:pPr>
        <w:pStyle w:val="null3"/>
        <w:ind w:firstLine="480"/>
      </w:pPr>
      <w:r>
        <w:rPr/>
        <w:t>采购计划编号：</w:t>
      </w:r>
      <w:r>
        <w:rPr/>
        <w:t>440101-2024-23864</w:t>
      </w:r>
    </w:p>
    <w:p>
      <w:pPr>
        <w:pStyle w:val="null3"/>
        <w:ind w:firstLine="480"/>
      </w:pPr>
      <w:r>
        <w:rPr/>
        <w:t>采购项目编号：</w:t>
      </w:r>
      <w:r>
        <w:rPr/>
        <w:t>GZCQC2400FG11011</w:t>
      </w:r>
    </w:p>
    <w:p>
      <w:pPr>
        <w:pStyle w:val="null3"/>
        <w:ind w:firstLine="480"/>
      </w:pPr>
      <w:r>
        <w:rPr/>
        <w:t>采购方式：</w:t>
      </w:r>
      <w:r>
        <w:rPr/>
        <w:t>公开招标</w:t>
      </w:r>
    </w:p>
    <w:p>
      <w:pPr>
        <w:pStyle w:val="null3"/>
        <w:ind w:firstLine="480"/>
      </w:pPr>
      <w:r>
        <w:rPr/>
        <w:t>预算金额：</w:t>
      </w:r>
      <w:r>
        <w:rPr/>
        <w:t>2,050,000.00</w:t>
      </w:r>
      <w:r>
        <w:rPr/>
        <w:t>元</w:t>
      </w:r>
    </w:p>
    <w:p>
      <w:pPr>
        <w:pStyle w:val="null3"/>
        <w:outlineLvl w:val="3"/>
      </w:pPr>
      <w:r>
        <w:rPr>
          <w:sz w:val="24"/>
          <w:b/>
        </w:rPr>
        <w:t>2.项目内容及需求情况（采购项目技术规格、参数及要求）</w:t>
      </w:r>
    </w:p>
    <w:p>
      <w:pPr>
        <w:pStyle w:val="null3"/>
      </w:pPr>
      <w:r>
        <w:rPr/>
        <w:t>采购包1(重点地区及重要专项领域规划编制经费—广州市“平急两用”公共基础设施建设总体规划):</w:t>
      </w:r>
    </w:p>
    <w:p>
      <w:pPr>
        <w:pStyle w:val="null3"/>
      </w:pPr>
      <w:r>
        <w:rPr/>
        <w:t>采购包预算金额：2,050,000.00元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重点地区及重要专项领域规划编制经费—广州市“平急两用”公共基础设施建设总体规划</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采购包1（重点地区及重要专项领域规划编制经费—广州市“平急两用”公共基础设施建设总体规划）：</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采购包1（重点地区及重要专项领域规划编制经费—广州市“平急两用”公共基础设施建设总体规划）：</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须具有城乡规划编制乙级（或以上）资质（根据《自然资源部办公厅关于城乡规划编制单位甲级资质证书延期有关事宜的通知》的规定，有效期至2023年12月31日的城乡规划编制单位甲级资质证书，有效期延长至2025年12月31日；各省（自治区、直辖市）自然资源主管部门及新疆生产建设兵团自然资源局对乙级城乡规划编制单位资质的管理可参照该文执行。如相关主管部门有最新政策，按最新政策执行）。如为联合体投标的，则须联合体牵头方具有相关资质。（提供证书复印件）</w:t>
      </w:r>
    </w:p>
    <w:p>
      <w:pPr>
        <w:pStyle w:val="null3"/>
      </w:pPr>
      <w:r>
        <w:rPr/>
        <w:t>6)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020-83064007</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3538"/>
        <w:gridCol w:w="1148"/>
        <w:gridCol w:w="3620"/>
      </w:tblGrid>
      <w:tr>
        <w:tc>
          <w:tcPr>
            <w:tcW w:type="dxa" w:w="353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6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预算金额</w:t>
            </w:r>
            <w:r>
              <w:rPr>
                <w:sz w:val="24"/>
                <w:b/>
              </w:rPr>
              <w:t>（人民币  元）</w:t>
            </w:r>
          </w:p>
        </w:tc>
      </w:tr>
      <w:tr>
        <w:tc>
          <w:tcPr>
            <w:tcW w:type="dxa" w:w="35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重点地区及重要专项领域规划编制经费—广州市“平急两用”公共基础设施建设总体规划</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6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2,050,000.00</w:t>
            </w:r>
            <w:r>
              <w:rPr>
                <w:sz w:val="24"/>
              </w:rPr>
              <w:t>（其中2024年预算金额为1,025,000.00元，2025年预算拟安排1,025,000.00元）</w:t>
            </w:r>
          </w:p>
        </w:tc>
      </w:tr>
    </w:tbl>
    <w:p>
      <w:pPr>
        <w:pStyle w:val="null3"/>
        <w:ind w:firstLine="480"/>
        <w:jc w:val="both"/>
      </w:pPr>
      <w:r>
        <w:rPr/>
        <w:t>采购包1（重点地区及重要专项领域规划编制经费—广州市“平急两用”公共基础设施建设总体规划）</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本工作的服务期限：自合同签订之日起一年。</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1期：支付比例50%,项目合同签订后，采购人应在合同签订生效以及具备实施条件后5个工作日内支付合同总金额的50%。预计在2024年12月31日前支付第一期费用。</w:t>
            </w:r>
          </w:p>
          <w:p>
            <w:pPr>
              <w:pStyle w:val="null3"/>
            </w:pPr>
            <w:r>
              <w:rPr/>
              <w:t>2期：支付比例30%,中标人完成中期成果并通过审查后，采购人收到发票后向中标人支付本项目合同总金额的30%。预计在2025年6月30日前支付第二期费用。</w:t>
            </w:r>
          </w:p>
          <w:p>
            <w:pPr>
              <w:pStyle w:val="null3"/>
            </w:pPr>
            <w:r>
              <w:rPr/>
              <w:t>3期：支付比例20%,中标人完成终期成果，经采购人组织验收通过，由采购人出具结题函，完成成果归档后，采购人收到发票后向中标人支付本项目合同总金额的20%。预计在2025年10月31日前支付第三期费用。 注：（1）每次按合同支付款项前，中标人应向采购人提供与支付金额相符的有效发票，且收款方、出具发票方、合同乙方均必须与中标人名称一致。 （2）因采购人使用的是财政资金，采购人在规定时间内办理支付手续即视为已经按时支付，具体到账时间以财政拨款为准。每期支付，采购人均需按规定程序向财政部门申请办理财政支付手续（政府财政支付部门审核的时间不确定，故具体到账时间采购人不作保证。）因财政预算资金的指标未及时下达、财政审核时间过长、集中支付延误等致中标人收款延迟到账，不属于采购人违约情形，采购人无需承担任何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1期：按以下列标准和方式对中标人的技术服务工作成果进行验收： 1.中标人完成技术服务工作的形式：本项工作采取分阶段评审的方式，采购人负责组织审查工作，并出具审查书面意见。中标人负责提供审查和验收所必需的汇报材料和相关文件。 2.技术服务工作成果的验收标准：工作成果应符合国家、省、市相关法律、法规、条例、政策文件、规范、标准以及本项目采购需求的要求。 3.技术服务工作成果的验收方法：采购人组织验收。 4.验收的时间和地点：由采购人确定。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★报价要求，本项目总价报价，凡超过最高限价2,050,000.00元的投标报价均视为无效报价。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重点地区及重要专项领域规划编制经费—广州市“平急两用”公共基础设施建设总体规划</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2,050,000.00</w:t>
            </w:r>
          </w:p>
        </w:tc>
        <w:tc>
          <w:tcPr>
            <w:tcW w:type="dxa" w:w="933"/>
          </w:tcPr>
          <w:p>
            <w:pPr>
              <w:pStyle w:val="null3"/>
              <w:jc w:val="right"/>
            </w:pPr>
            <w:r>
              <w:rPr/>
              <w:t>2,050,000.00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重点地区及重要专项领域规划编制经费—广州市“平急两用”公共基础设施建设总体规划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4"/>
                <w:b/>
              </w:rPr>
              <w:t>第一章  总则</w:t>
            </w:r>
          </w:p>
          <w:p>
            <w:pPr>
              <w:pStyle w:val="null3"/>
              <w:ind w:firstLine="482"/>
              <w:jc w:val="both"/>
            </w:pPr>
            <w:r>
              <w:rPr>
                <w:sz w:val="24"/>
                <w:b/>
              </w:rPr>
              <w:t>第一条 项目背景</w:t>
            </w:r>
          </w:p>
          <w:p>
            <w:pPr>
              <w:pStyle w:val="null3"/>
              <w:ind w:firstLine="480"/>
              <w:jc w:val="both"/>
            </w:pPr>
            <w:r>
              <w:rPr>
                <w:sz w:val="24"/>
              </w:rPr>
              <w:t>以习近</w:t>
            </w:r>
            <w:r>
              <w:rPr>
                <w:sz w:val="24"/>
                <w:color w:val="FFFFFF"/>
                <w:shd w:fill="FFFFFF" w:val="clear"/>
              </w:rPr>
              <w:t>.</w:t>
            </w:r>
            <w:r>
              <w:rPr>
                <w:sz w:val="24"/>
              </w:rPr>
              <w:t>平新时代</w:t>
            </w:r>
            <w:r>
              <w:rPr>
                <w:sz w:val="24"/>
                <w:color w:val="FFFFFF"/>
                <w:shd w:fill="FFFFFF" w:val="clear"/>
              </w:rPr>
              <w:t>.</w:t>
            </w:r>
            <w:r>
              <w:rPr>
                <w:sz w:val="24"/>
              </w:rPr>
              <w:t>中国特色社会主义思想为指导，贯彻落实党的二十大报告要求，将“提高防灾减灾救灾和重大突发公共事件处置保障能力，加强国家区域应急力量建设”作为推进国家安全体系和能力现代化，坚决维护国家安全和社会稳定的核心任务。2023年7月，《国务院办公厅关于积极稳步推进超大特大城市“平急两用”公共基础设施建设的指导意见》明确提出，超大特大城市人口规模大、人员流动快，新发重大疫情和突发公共事件始终是潜在的重大威胁，需要积极稳步推进“平急两用”公共基础设施建设。为落实国家工作部署，对广州市“平急两用”公共基础设施进行规划，通过科学谋划、解决“平急两用”公共基础设施“建多少、在哪建、怎么建、用什么地、如何配套、如何管理”等问题，为广州市应急隔离、临时安置、物资保障、医疗救治等各类“平急两用”公共基础设施提供空间保障与建设、使用指引，提高广州市空间复合利用效率以及城市应对新发重大疫情、突发公共事件的应急保障能力。</w:t>
            </w:r>
          </w:p>
          <w:p>
            <w:pPr>
              <w:pStyle w:val="null3"/>
              <w:ind w:firstLine="482"/>
              <w:jc w:val="both"/>
            </w:pPr>
            <w:r>
              <w:rPr>
                <w:sz w:val="24"/>
                <w:b/>
              </w:rPr>
              <w:t>第二条</w:t>
            </w:r>
            <w:r>
              <w:rPr>
                <w:sz w:val="24"/>
              </w:rPr>
              <w:t xml:space="preserve"> 广州市规划和自然资源局作为本项目甲方，负责本项目政府采购工作，并负责项目合同签订、组织编制、成果评审等工作。</w:t>
            </w:r>
          </w:p>
          <w:p>
            <w:pPr>
              <w:pStyle w:val="null3"/>
              <w:ind w:firstLine="482"/>
              <w:jc w:val="both"/>
            </w:pPr>
            <w:r>
              <w:rPr>
                <w:sz w:val="24"/>
                <w:b/>
              </w:rPr>
              <w:t>第三条</w:t>
            </w:r>
            <w:r>
              <w:rPr>
                <w:sz w:val="24"/>
              </w:rPr>
              <w:t xml:space="preserve"> 本项目将依据《政府采购法》相关规定，通过政府采购的方式，委托具备相应资质的中标人完成。</w:t>
            </w:r>
          </w:p>
          <w:p>
            <w:pPr>
              <w:pStyle w:val="null3"/>
              <w:ind w:firstLine="482"/>
              <w:jc w:val="both"/>
            </w:pPr>
            <w:r>
              <w:rPr>
                <w:sz w:val="24"/>
                <w:b/>
              </w:rPr>
              <w:t>第四条</w:t>
            </w:r>
            <w:r>
              <w:rPr>
                <w:sz w:val="24"/>
              </w:rPr>
              <w:t xml:space="preserve"> 承接本项目的中标人均视为承认本文件的所有条款，并按本采购需求规定条款完成工作。</w:t>
            </w:r>
          </w:p>
          <w:p>
            <w:pPr>
              <w:pStyle w:val="null3"/>
              <w:ind w:firstLine="482"/>
              <w:jc w:val="both"/>
            </w:pPr>
            <w:r>
              <w:rPr>
                <w:sz w:val="24"/>
                <w:b/>
              </w:rPr>
              <w:t>第五条 工作范围</w:t>
            </w:r>
          </w:p>
          <w:p>
            <w:pPr>
              <w:pStyle w:val="null3"/>
              <w:ind w:firstLine="480"/>
              <w:jc w:val="both"/>
            </w:pPr>
            <w:r>
              <w:rPr>
                <w:sz w:val="24"/>
              </w:rPr>
              <w:t>本项目规划范围为广州市市域范围，总面积7434平方公里。</w:t>
            </w:r>
          </w:p>
          <w:p>
            <w:pPr>
              <w:pStyle w:val="null3"/>
              <w:ind w:firstLine="482"/>
              <w:jc w:val="both"/>
            </w:pPr>
            <w:r>
              <w:rPr>
                <w:sz w:val="24"/>
                <w:b/>
              </w:rPr>
              <w:t>第六条 规划年限</w:t>
            </w:r>
          </w:p>
          <w:p>
            <w:pPr>
              <w:pStyle w:val="null3"/>
              <w:ind w:firstLine="480"/>
              <w:jc w:val="both"/>
            </w:pPr>
            <w:r>
              <w:rPr>
                <w:sz w:val="24"/>
              </w:rPr>
              <w:t>本项目规划基准年为2023年，规划年为2027年。</w:t>
            </w:r>
          </w:p>
          <w:p>
            <w:pPr>
              <w:pStyle w:val="null3"/>
              <w:ind w:firstLine="482"/>
              <w:jc w:val="both"/>
            </w:pPr>
            <w:r>
              <w:rPr>
                <w:sz w:val="24"/>
                <w:b/>
              </w:rPr>
              <w:t>第七条 委托服务期限</w:t>
            </w:r>
          </w:p>
          <w:p>
            <w:pPr>
              <w:pStyle w:val="null3"/>
              <w:ind w:firstLine="480"/>
              <w:jc w:val="both"/>
            </w:pPr>
            <w:r>
              <w:rPr>
                <w:sz w:val="24"/>
              </w:rPr>
              <w:t>本工作的服务期限：自合同签订之日起一年。</w:t>
            </w:r>
          </w:p>
        </w:tc>
      </w:tr>
      <w:tr>
        <w:tc>
          <w:tcPr>
            <w:tcW w:type="dxa" w:w="2076"/>
          </w:tcPr>
          <w:p/>
        </w:tc>
        <w:tc>
          <w:tcPr>
            <w:tcW w:type="dxa" w:w="415"/>
          </w:tcPr>
          <w:p>
            <w:pPr>
              <w:pStyle w:val="null3"/>
            </w:pPr>
            <w:r>
              <w:rPr/>
              <w:t>2</w:t>
            </w:r>
          </w:p>
        </w:tc>
        <w:tc>
          <w:tcPr>
            <w:tcW w:type="dxa" w:w="5814"/>
          </w:tcPr>
          <w:p>
            <w:pPr>
              <w:pStyle w:val="null3"/>
              <w:jc w:val="center"/>
            </w:pPr>
            <w:r>
              <w:rPr>
                <w:sz w:val="24"/>
                <w:b/>
              </w:rPr>
              <w:t>第二章  编制原则与工作内容</w:t>
            </w:r>
          </w:p>
          <w:p>
            <w:pPr>
              <w:pStyle w:val="null3"/>
              <w:ind w:firstLine="482"/>
              <w:jc w:val="both"/>
            </w:pPr>
            <w:r>
              <w:rPr>
                <w:sz w:val="24"/>
                <w:b/>
              </w:rPr>
              <w:t>第八条 编制原则</w:t>
            </w:r>
          </w:p>
          <w:p>
            <w:pPr>
              <w:pStyle w:val="null3"/>
              <w:ind w:firstLine="480"/>
              <w:jc w:val="both"/>
            </w:pPr>
            <w:r>
              <w:rPr>
                <w:sz w:val="24"/>
              </w:rPr>
              <w:t>1、人民至上、生命至上</w:t>
            </w:r>
          </w:p>
          <w:p>
            <w:pPr>
              <w:pStyle w:val="null3"/>
              <w:ind w:firstLine="480"/>
              <w:jc w:val="both"/>
            </w:pPr>
            <w:r>
              <w:rPr>
                <w:sz w:val="24"/>
              </w:rPr>
              <w:t>以满足人民对美好生活的需要为出发点，贯彻落实总体国家安全观，推进“平急两用”公共基础设施建设、管理、转换，补齐城市安全韧性和公共服务设施“短板”，提升城市应急防灾能力。</w:t>
            </w:r>
          </w:p>
          <w:p>
            <w:pPr>
              <w:pStyle w:val="null3"/>
              <w:ind w:firstLine="480"/>
              <w:jc w:val="both"/>
            </w:pPr>
            <w:r>
              <w:rPr>
                <w:sz w:val="24"/>
              </w:rPr>
              <w:t>2、依法依规、集约发展</w:t>
            </w:r>
          </w:p>
          <w:p>
            <w:pPr>
              <w:pStyle w:val="null3"/>
              <w:ind w:firstLine="480"/>
              <w:jc w:val="both"/>
            </w:pPr>
            <w:r>
              <w:rPr>
                <w:sz w:val="24"/>
              </w:rPr>
              <w:t>落实城市战略定位和城市应急防灾目标，衔接国土空间规划和相关专项规划，在严守耕地和永久基本农田保护红线、生态保护红线、历史文化保护线、灾害风险控制线等底线约束的基础上，统筹做好“平急两用”公共基础设施空间保障，确定合适的规模、合理的功能。</w:t>
            </w:r>
          </w:p>
          <w:p>
            <w:pPr>
              <w:pStyle w:val="null3"/>
              <w:ind w:firstLine="480"/>
              <w:jc w:val="both"/>
            </w:pPr>
            <w:r>
              <w:rPr>
                <w:sz w:val="24"/>
              </w:rPr>
              <w:t>3、城乡融合、功能复合</w:t>
            </w:r>
          </w:p>
          <w:p>
            <w:pPr>
              <w:pStyle w:val="null3"/>
              <w:ind w:firstLine="480"/>
              <w:jc w:val="both"/>
            </w:pPr>
            <w:r>
              <w:rPr>
                <w:sz w:val="24"/>
              </w:rPr>
              <w:t>完善城乡“平急两用”公共基础设施布局，发挥“平急两用”公共基础设施综合使用效能，在新建、扩建或改造时嵌入“急时”隔离等功能，提高城市应急防灾能力冗余。</w:t>
            </w:r>
          </w:p>
          <w:p>
            <w:pPr>
              <w:pStyle w:val="null3"/>
              <w:ind w:firstLine="480"/>
              <w:jc w:val="both"/>
            </w:pPr>
            <w:r>
              <w:rPr>
                <w:sz w:val="24"/>
              </w:rPr>
              <w:t>4、稳步有序、共建共享</w:t>
            </w:r>
          </w:p>
          <w:p>
            <w:pPr>
              <w:pStyle w:val="null3"/>
              <w:ind w:firstLine="480"/>
              <w:jc w:val="both"/>
            </w:pPr>
            <w:r>
              <w:rPr>
                <w:sz w:val="24"/>
              </w:rPr>
              <w:t>加强政策支持，不断完善相关标准、资金、用地等政策机制，引导并鼓励产权主体和社会力量全过程、实质性、高效率参与“平急两用”公共基础设施建设和运营。</w:t>
            </w:r>
          </w:p>
          <w:p>
            <w:pPr>
              <w:pStyle w:val="null3"/>
              <w:ind w:firstLine="482"/>
              <w:jc w:val="both"/>
            </w:pPr>
            <w:r>
              <w:rPr>
                <w:sz w:val="24"/>
                <w:b/>
              </w:rPr>
              <w:t>第九条 编制内容</w:t>
            </w:r>
          </w:p>
          <w:p>
            <w:pPr>
              <w:pStyle w:val="null3"/>
              <w:ind w:firstLine="480"/>
              <w:jc w:val="both"/>
            </w:pPr>
            <w:r>
              <w:rPr>
                <w:sz w:val="24"/>
              </w:rPr>
              <w:t>（一）城市韧性评估</w:t>
            </w:r>
          </w:p>
          <w:p>
            <w:pPr>
              <w:pStyle w:val="null3"/>
              <w:ind w:firstLine="480"/>
              <w:jc w:val="both"/>
            </w:pPr>
            <w:r>
              <w:rPr>
                <w:sz w:val="24"/>
              </w:rPr>
              <w:t>基于国土空间总体规划以及公共卫生、综合防灾、人防工程等专项规划、调查的相关现状评估内容，识别城市在自然灾害、公共卫生、事故灾害等方面的主要问题与风险点，评估城市安全韧性水平，提出“平急两用”公共基础设施设施短板与布局选址建议。</w:t>
            </w:r>
          </w:p>
          <w:p>
            <w:pPr>
              <w:pStyle w:val="null3"/>
              <w:ind w:firstLine="480"/>
              <w:jc w:val="both"/>
            </w:pPr>
            <w:r>
              <w:rPr>
                <w:sz w:val="24"/>
              </w:rPr>
              <w:t>（二）“平急两用”设施需求分析</w:t>
            </w:r>
          </w:p>
          <w:p>
            <w:pPr>
              <w:pStyle w:val="null3"/>
              <w:ind w:firstLine="480"/>
              <w:jc w:val="both"/>
            </w:pPr>
            <w:r>
              <w:rPr>
                <w:sz w:val="24"/>
              </w:rPr>
              <w:t>结合“平急两用”旅游居住设施、医疗应急服务点、城郊大型仓储基地等存量资源摸查情况，对标相关设施建设目标，综合考虑广州市人口规模、城市发展情况、疫情防控需要，综合研判各类“平急两用”公共基础设施需求。</w:t>
            </w:r>
          </w:p>
          <w:p>
            <w:pPr>
              <w:pStyle w:val="null3"/>
              <w:ind w:firstLine="480"/>
              <w:jc w:val="both"/>
            </w:pPr>
            <w:r>
              <w:rPr>
                <w:sz w:val="24"/>
              </w:rPr>
              <w:t>（三）目标与指标</w:t>
            </w:r>
          </w:p>
          <w:p>
            <w:pPr>
              <w:pStyle w:val="null3"/>
              <w:ind w:firstLine="480"/>
              <w:jc w:val="both"/>
            </w:pPr>
            <w:r>
              <w:rPr>
                <w:sz w:val="24"/>
              </w:rPr>
              <w:t>落实上级部门有关任务要求，结合广州市发展阶段和特点，从提升和完善灾害风险预防应对能力出发，合理确定全市、各区、各类“平急两用”公共基础设施的建设目标任务，统筹综合防灾、公共卫生、城乡融合等专项规划的有关要求，确定广州市“平急两用”公共基础设施建设的量化指标，并细化形成2025年、2027年等不同规划期限内建设目标、规模与时序安排。</w:t>
            </w:r>
          </w:p>
          <w:p>
            <w:pPr>
              <w:pStyle w:val="null3"/>
              <w:ind w:firstLine="480"/>
              <w:jc w:val="both"/>
            </w:pPr>
            <w:r>
              <w:rPr>
                <w:sz w:val="24"/>
              </w:rPr>
              <w:t>（四）选址与建设指引</w:t>
            </w:r>
          </w:p>
          <w:p>
            <w:pPr>
              <w:pStyle w:val="null3"/>
              <w:ind w:firstLine="480"/>
              <w:jc w:val="both"/>
            </w:pPr>
            <w:r>
              <w:rPr>
                <w:sz w:val="24"/>
              </w:rPr>
              <w:t>充分衔接相关标准、指引，明确各类新建、改（扩）建“平急两用”公共基础设施用地选址、建筑设计等方面的要求，形成各类设施选址要求及建设指引，推动广州积极稳步落实“平急两用”公共基础设施建设目标。</w:t>
            </w:r>
          </w:p>
          <w:p>
            <w:pPr>
              <w:pStyle w:val="null3"/>
              <w:ind w:firstLine="480"/>
              <w:jc w:val="both"/>
            </w:pPr>
            <w:r>
              <w:rPr>
                <w:sz w:val="24"/>
              </w:rPr>
              <w:t>（五）规划空间布局</w:t>
            </w:r>
          </w:p>
          <w:p>
            <w:pPr>
              <w:pStyle w:val="null3"/>
              <w:ind w:firstLine="480"/>
              <w:jc w:val="both"/>
            </w:pPr>
            <w:r>
              <w:rPr>
                <w:sz w:val="24"/>
              </w:rPr>
              <w:t>综合确定广州市“平急两用”公共基础设施的总体布局，统筹“平急两用”设施空间规划选址布局和用地保障，形成全市“平急两用”公共基础设施布局规划图和各类“平急两用”公共基础设施布局规划图。</w:t>
            </w:r>
          </w:p>
          <w:p>
            <w:pPr>
              <w:pStyle w:val="null3"/>
              <w:ind w:firstLine="480"/>
              <w:jc w:val="both"/>
            </w:pPr>
            <w:r>
              <w:rPr>
                <w:sz w:val="24"/>
              </w:rPr>
              <w:t>（六）分区规划指引</w:t>
            </w:r>
          </w:p>
          <w:p>
            <w:pPr>
              <w:pStyle w:val="null3"/>
              <w:ind w:firstLine="480"/>
              <w:jc w:val="both"/>
            </w:pPr>
            <w:r>
              <w:rPr>
                <w:sz w:val="24"/>
              </w:rPr>
              <w:t>结合各区“平急两用”公共基础设施布点规划及项目申报情况，考虑各区存量资源及建设潜力，制定各区“平急两用”公共基础设施建设指引，明确各区“平急两用”基础设施建设指标、布局要点、项目安排等。</w:t>
            </w:r>
          </w:p>
          <w:p>
            <w:pPr>
              <w:pStyle w:val="null3"/>
              <w:ind w:firstLine="480"/>
              <w:jc w:val="both"/>
            </w:pPr>
            <w:r>
              <w:rPr>
                <w:sz w:val="24"/>
              </w:rPr>
              <w:t>（七）近期行动与项目</w:t>
            </w:r>
          </w:p>
          <w:p>
            <w:pPr>
              <w:pStyle w:val="null3"/>
              <w:ind w:firstLine="480"/>
              <w:jc w:val="both"/>
            </w:pPr>
            <w:r>
              <w:rPr>
                <w:sz w:val="24"/>
              </w:rPr>
              <w:t>加强本规划与国土空间总体规划、相关行业领域专项规划以及详细规划的衔接，结合各区布点规划建立“平急两用”公共基础设施近期建设项目库。</w:t>
            </w:r>
          </w:p>
          <w:p>
            <w:pPr>
              <w:pStyle w:val="null3"/>
              <w:ind w:firstLine="480"/>
              <w:jc w:val="both"/>
            </w:pPr>
            <w:r>
              <w:rPr>
                <w:sz w:val="24"/>
              </w:rPr>
              <w:t>（八）实施保障</w:t>
            </w:r>
          </w:p>
          <w:p>
            <w:pPr>
              <w:pStyle w:val="null3"/>
              <w:ind w:firstLine="480"/>
              <w:jc w:val="both"/>
            </w:pPr>
            <w:r>
              <w:rPr>
                <w:sz w:val="24"/>
              </w:rPr>
              <w:t>明确部门分工制定规划实施资金保障机制、土地保障机制、规划实施机制、设施管理机制、评估维护机制等方面工作建议。</w:t>
            </w:r>
          </w:p>
          <w:p>
            <w:pPr>
              <w:pStyle w:val="null3"/>
              <w:ind w:firstLine="482"/>
              <w:jc w:val="both"/>
            </w:pPr>
            <w:r>
              <w:rPr>
                <w:sz w:val="24"/>
                <w:b/>
              </w:rPr>
              <w:t xml:space="preserve">第十条 </w:t>
            </w:r>
            <w:r>
              <w:rPr>
                <w:sz w:val="24"/>
              </w:rPr>
              <w:t>其他采购人交办的工作与配合服务要求。及时制作采购人交办的与项目相关的文本成果和有关汇报材料，根据采购人要求可以开展必要的实地调研、对先进案例收集和研究等工作。承接本项目的单位应委派必要的相关技术人员提供驻场服务，按采购人要求提供与本项目相关的服务。</w:t>
            </w:r>
          </w:p>
          <w:p>
            <w:pPr>
              <w:pStyle w:val="null3"/>
              <w:ind w:firstLine="482"/>
              <w:jc w:val="both"/>
            </w:pPr>
            <w:r>
              <w:rPr/>
              <w:t xml:space="preserve"> </w:t>
            </w:r>
          </w:p>
          <w:p>
            <w:pPr>
              <w:pStyle w:val="null3"/>
              <w:ind w:firstLine="482"/>
              <w:jc w:val="both"/>
            </w:pPr>
            <w:r>
              <w:rPr/>
              <w:t xml:space="preserve"> </w:t>
            </w:r>
          </w:p>
        </w:tc>
      </w:tr>
      <w:tr>
        <w:tc>
          <w:tcPr>
            <w:tcW w:type="dxa" w:w="2076"/>
          </w:tcPr>
          <w:p/>
        </w:tc>
        <w:tc>
          <w:tcPr>
            <w:tcW w:type="dxa" w:w="415"/>
          </w:tcPr>
          <w:p>
            <w:pPr>
              <w:pStyle w:val="null3"/>
            </w:pPr>
            <w:r>
              <w:rPr/>
              <w:t>3</w:t>
            </w:r>
          </w:p>
        </w:tc>
        <w:tc>
          <w:tcPr>
            <w:tcW w:type="dxa" w:w="5814"/>
          </w:tcPr>
          <w:p>
            <w:pPr>
              <w:pStyle w:val="null3"/>
              <w:jc w:val="center"/>
            </w:pPr>
            <w:r>
              <w:rPr>
                <w:sz w:val="24"/>
                <w:b/>
              </w:rPr>
              <w:t>第三章  成果要求</w:t>
            </w:r>
          </w:p>
          <w:p>
            <w:pPr>
              <w:pStyle w:val="null3"/>
              <w:ind w:firstLine="482"/>
              <w:jc w:val="both"/>
            </w:pPr>
            <w:r>
              <w:rPr>
                <w:sz w:val="24"/>
                <w:b/>
              </w:rPr>
              <w:t>第十一条 成果内容</w:t>
            </w:r>
          </w:p>
          <w:p>
            <w:pPr>
              <w:pStyle w:val="null3"/>
              <w:ind w:firstLine="480"/>
              <w:jc w:val="both"/>
            </w:pPr>
            <w:r>
              <w:rPr>
                <w:sz w:val="24"/>
              </w:rPr>
              <w:t>规划设计成果包括：总体规划文本、图集、数据库及附件，附件包括规划说明以及其他相关材料等。</w:t>
            </w:r>
          </w:p>
          <w:p>
            <w:pPr>
              <w:pStyle w:val="null3"/>
              <w:ind w:firstLine="482"/>
              <w:jc w:val="both"/>
            </w:pPr>
            <w:r>
              <w:rPr>
                <w:sz w:val="24"/>
                <w:b/>
              </w:rPr>
              <w:t>第十二条 成果形式</w:t>
            </w:r>
          </w:p>
          <w:p>
            <w:pPr>
              <w:pStyle w:val="null3"/>
              <w:ind w:firstLine="480"/>
              <w:jc w:val="both"/>
            </w:pPr>
            <w:r>
              <w:rPr>
                <w:sz w:val="24"/>
              </w:rPr>
              <w:t>项目成果形式包括纸质文档和电子文档。成果数量依据项目具体要求而定。</w:t>
            </w:r>
          </w:p>
          <w:p>
            <w:pPr>
              <w:pStyle w:val="null3"/>
              <w:ind w:firstLine="480"/>
              <w:jc w:val="both"/>
            </w:pPr>
            <w:r>
              <w:rPr>
                <w:sz w:val="24"/>
              </w:rPr>
              <w:t>在各阶段成果等各阶段汇报交流后，应随即提交项目各阶段性方案的全部电子文件（CAD、PPT、JPG文件格式）。最终成果须提交A4规格的规划文本及A3规格的规划图集各3套，同时提交全部成果的电子文件（CAD、GIS、JPG、DOC、PDF文件格式,符合入库标准、多媒体汇报文件）2套。</w:t>
            </w:r>
          </w:p>
          <w:p>
            <w:pPr>
              <w:pStyle w:val="null3"/>
              <w:ind w:firstLine="480"/>
              <w:jc w:val="both"/>
            </w:pPr>
            <w:r>
              <w:rPr>
                <w:sz w:val="24"/>
              </w:rPr>
              <w:t>交付的成果必须签署齐全，设计图纸和文本文件必须做到清晰、完整，尺寸齐全、准确，同类图纸规格应统一。设计成果内容、深度必须符合任务书中的编制原则、工作内容等有关章节的规定。</w:t>
            </w:r>
          </w:p>
          <w:p>
            <w:pPr>
              <w:pStyle w:val="null3"/>
              <w:ind w:firstLine="482"/>
              <w:jc w:val="both"/>
            </w:pPr>
            <w:r>
              <w:rPr>
                <w:sz w:val="24"/>
                <w:b/>
              </w:rPr>
              <w:t>第十三条 质量要求</w:t>
            </w:r>
          </w:p>
          <w:p>
            <w:pPr>
              <w:pStyle w:val="null3"/>
              <w:ind w:firstLine="480"/>
              <w:jc w:val="both"/>
            </w:pPr>
            <w:r>
              <w:rPr>
                <w:sz w:val="24"/>
              </w:rPr>
              <w:t>中标人提交的成果资料应符合有关法律、法规、标准、规范的要求，并保证工作成果满足行政审批部门的要求，中标人提供的成果质量不合格，将无偿负责规划调整或采取补救措施，以达到质量要求；对于成果的质量问题和采购人临时提出的其它合理技术要求，中标人应按时进行修改或生产；成果交付后，在其正常使用时，出现任何由中标人造成的重大质量问题，中标人应承担由此引发的相关责任后果，妥善处理好各项善后事宜。</w:t>
            </w:r>
          </w:p>
          <w:p>
            <w:pPr>
              <w:pStyle w:val="null3"/>
              <w:ind w:firstLine="482"/>
              <w:jc w:val="both"/>
            </w:pPr>
            <w:r>
              <w:rPr>
                <w:sz w:val="24"/>
                <w:b/>
              </w:rPr>
              <w:t>第十四条</w:t>
            </w:r>
            <w:r>
              <w:rPr>
                <w:sz w:val="24"/>
              </w:rPr>
              <w:t xml:space="preserve"> 规划设计成果需满足现有和已颁布将执行的国家相关标准、行业标准、地方标准或其它标准、规范。</w:t>
            </w:r>
          </w:p>
        </w:tc>
      </w:tr>
      <w:tr>
        <w:tc>
          <w:tcPr>
            <w:tcW w:type="dxa" w:w="2076"/>
          </w:tcPr>
          <w:p/>
        </w:tc>
        <w:tc>
          <w:tcPr>
            <w:tcW w:type="dxa" w:w="415"/>
          </w:tcPr>
          <w:p>
            <w:pPr>
              <w:pStyle w:val="null3"/>
            </w:pPr>
            <w:r>
              <w:rPr/>
              <w:t>4</w:t>
            </w:r>
          </w:p>
        </w:tc>
        <w:tc>
          <w:tcPr>
            <w:tcW w:type="dxa" w:w="5814"/>
          </w:tcPr>
          <w:p>
            <w:pPr>
              <w:pStyle w:val="null3"/>
              <w:jc w:val="center"/>
            </w:pPr>
            <w:r>
              <w:rPr>
                <w:sz w:val="24"/>
                <w:b/>
              </w:rPr>
              <w:t>第四章  成果报送和审查规定</w:t>
            </w:r>
          </w:p>
          <w:p>
            <w:pPr>
              <w:pStyle w:val="null3"/>
              <w:ind w:firstLine="482"/>
              <w:jc w:val="both"/>
            </w:pPr>
            <w:r>
              <w:rPr>
                <w:sz w:val="24"/>
                <w:b/>
              </w:rPr>
              <w:t xml:space="preserve">第十五条 </w:t>
            </w:r>
            <w:r>
              <w:rPr>
                <w:sz w:val="24"/>
              </w:rPr>
              <w:t>承接单位需按照本任务书要求，分阶段完成工作成果。</w:t>
            </w:r>
          </w:p>
          <w:p>
            <w:pPr>
              <w:pStyle w:val="null3"/>
              <w:ind w:firstLine="482"/>
              <w:jc w:val="both"/>
            </w:pPr>
            <w:r>
              <w:rPr>
                <w:sz w:val="24"/>
                <w:b/>
              </w:rPr>
              <w:t xml:space="preserve">第十六条 </w:t>
            </w:r>
            <w:r>
              <w:rPr>
                <w:sz w:val="24"/>
              </w:rPr>
              <w:t>本项工作采取分阶段评审的方式，广州市规划和自然资源局负责组织审查工作。中标人负责审查所必须的汇报资料和进行研究方案介绍。</w:t>
            </w:r>
          </w:p>
          <w:p>
            <w:pPr>
              <w:pStyle w:val="null3"/>
              <w:ind w:firstLine="482"/>
              <w:jc w:val="both"/>
            </w:pPr>
            <w:r>
              <w:rPr>
                <w:sz w:val="24"/>
                <w:b/>
              </w:rPr>
              <w:t xml:space="preserve">第十七条 </w:t>
            </w:r>
            <w:r>
              <w:rPr>
                <w:sz w:val="24"/>
              </w:rPr>
              <w:t>中标人必须于审查前3日派专人将规划成果送达广州市规划和自然资源局。</w:t>
            </w:r>
          </w:p>
          <w:p>
            <w:pPr>
              <w:pStyle w:val="null3"/>
              <w:ind w:firstLine="482"/>
              <w:jc w:val="both"/>
            </w:pPr>
            <w:r>
              <w:rPr>
                <w:sz w:val="24"/>
                <w:b/>
              </w:rPr>
              <w:t xml:space="preserve">第十八条 </w:t>
            </w:r>
            <w:r>
              <w:rPr>
                <w:sz w:val="24"/>
              </w:rPr>
              <w:t>通过审查后，中标人应根据审查意见修改并按时提交审批成果。各阶段提交成果文本的数量与组织单位协商后确定。</w:t>
            </w:r>
          </w:p>
          <w:p>
            <w:pPr>
              <w:pStyle w:val="null3"/>
              <w:ind w:firstLine="482"/>
              <w:jc w:val="both"/>
            </w:pPr>
            <w:r>
              <w:rPr>
                <w:sz w:val="24"/>
                <w:b/>
              </w:rPr>
              <w:t xml:space="preserve">第十九条 </w:t>
            </w:r>
            <w:r>
              <w:rPr>
                <w:sz w:val="24"/>
              </w:rPr>
              <w:t>提交的正式规划成果必须在成果报告上加注委托单位名称、中标人名称及法人代表、项目负责人、技术协调人及设计人员名单，并加盖中标人公章和城市规划设计出图专用章。</w:t>
            </w:r>
          </w:p>
          <w:p>
            <w:pPr>
              <w:pStyle w:val="null3"/>
              <w:ind w:firstLine="482"/>
              <w:jc w:val="both"/>
            </w:pPr>
            <w:r>
              <w:rPr>
                <w:sz w:val="24"/>
                <w:b/>
              </w:rPr>
              <w:t>第二十条 知识产权</w:t>
            </w:r>
          </w:p>
          <w:p>
            <w:pPr>
              <w:pStyle w:val="null3"/>
              <w:ind w:firstLine="480"/>
              <w:jc w:val="both"/>
            </w:pPr>
            <w:r>
              <w:rPr>
                <w:sz w:val="24"/>
              </w:rPr>
              <w:t>项目成果版权归广州市规划和自然资源局所有；广州市规划和自然资源局有权公开展示项目成果，并通过传播媒介、专业杂志、书刊或其它形式介绍、展示及评价成果内容。任何单位和个人未经广州市规划和自然资源局同意都无权以任何形式向社会公开展示规划成果。</w:t>
            </w:r>
          </w:p>
          <w:p>
            <w:pPr>
              <w:pStyle w:val="null3"/>
              <w:ind w:firstLine="482"/>
              <w:jc w:val="both"/>
            </w:pPr>
            <w:r>
              <w:rPr>
                <w:sz w:val="24"/>
                <w:b/>
              </w:rPr>
              <w:t xml:space="preserve">第二十一条 </w:t>
            </w:r>
            <w:r>
              <w:rPr>
                <w:sz w:val="24"/>
              </w:rPr>
              <w:t>中标人须履行跟踪服务职责，参与项目相关的技术咨询工作，对成果进行跟踪解读服务，应广州市规划和自然资源局要求提供书面咨询意见，并负责配合完成项目的专题汇报、会议汇报、公众参与和对外交流等工作。</w:t>
            </w:r>
          </w:p>
          <w:p>
            <w:pPr>
              <w:pStyle w:val="null3"/>
              <w:ind w:firstLine="482"/>
              <w:jc w:val="both"/>
            </w:pPr>
            <w:r>
              <w:rPr>
                <w:sz w:val="24"/>
                <w:b/>
              </w:rPr>
              <w:t>第二十二条 保密要求</w:t>
            </w:r>
          </w:p>
          <w:p>
            <w:pPr>
              <w:pStyle w:val="null3"/>
              <w:ind w:firstLine="480"/>
              <w:jc w:val="both"/>
            </w:pPr>
            <w:r>
              <w:rPr>
                <w:sz w:val="24"/>
              </w:rPr>
              <w:t>必须对本项目的背景材料、相关技术资料和成果等一切有关信息承担保密责任。本项目涉及的保密条款并不因本项目合同的终止就失效，该条款对各方依旧有法律约束力。各方确定因履行本合同应遵守的保密义务如下：</w:t>
            </w:r>
          </w:p>
          <w:p>
            <w:pPr>
              <w:pStyle w:val="null3"/>
              <w:ind w:firstLine="480"/>
              <w:jc w:val="both"/>
            </w:pPr>
            <w:r>
              <w:rPr>
                <w:sz w:val="24"/>
              </w:rPr>
              <w:t>(1)保密内容（包括技术信息和经营信息</w:t>
            </w:r>
            <w:r>
              <w:rPr>
                <w:sz w:val="24"/>
              </w:rPr>
              <w:t>）：</w:t>
            </w:r>
            <w:r>
              <w:rPr>
                <w:sz w:val="24"/>
              </w:rPr>
              <w:t>与本项目有关的技术资料、过程性材料、数据等。</w:t>
            </w:r>
          </w:p>
          <w:p>
            <w:pPr>
              <w:pStyle w:val="null3"/>
              <w:ind w:firstLine="480"/>
              <w:jc w:val="both"/>
            </w:pPr>
            <w:r>
              <w:rPr>
                <w:sz w:val="24"/>
              </w:rPr>
              <w:t>(2)涉密人员范围：各方参与本项目的所有有关人员。</w:t>
            </w:r>
          </w:p>
          <w:p>
            <w:pPr>
              <w:pStyle w:val="null3"/>
              <w:ind w:firstLine="480"/>
              <w:jc w:val="both"/>
            </w:pPr>
            <w:r>
              <w:rPr>
                <w:sz w:val="24"/>
              </w:rPr>
              <w:t>(3)泄密责任：按照国家、省、市的相关法律规定承担有关责任。</w:t>
            </w:r>
          </w:p>
          <w:p>
            <w:pPr>
              <w:pStyle w:val="null3"/>
              <w:ind w:firstLine="480"/>
              <w:jc w:val="both"/>
            </w:pPr>
            <w:r>
              <w:rPr>
                <w:sz w:val="24"/>
              </w:rPr>
              <w:t>(4)保密期限：一般资料的保密期限与项目期限一致；涉密资料按照《中华人民共和国保守国家秘密法》有关保密期限的规定执行；具体可根据双方要求再作协商。</w:t>
            </w:r>
          </w:p>
        </w:tc>
      </w:tr>
      <w:tr>
        <w:tc>
          <w:tcPr>
            <w:tcW w:type="dxa" w:w="2076"/>
          </w:tcPr>
          <w:p/>
        </w:tc>
        <w:tc>
          <w:tcPr>
            <w:tcW w:type="dxa" w:w="415"/>
          </w:tcPr>
          <w:p>
            <w:pPr>
              <w:pStyle w:val="null3"/>
            </w:pPr>
            <w:r>
              <w:rPr/>
              <w:t>5</w:t>
            </w:r>
          </w:p>
        </w:tc>
        <w:tc>
          <w:tcPr>
            <w:tcW w:type="dxa" w:w="5814"/>
          </w:tcPr>
          <w:p>
            <w:pPr>
              <w:pStyle w:val="null3"/>
              <w:jc w:val="center"/>
            </w:pPr>
            <w:r>
              <w:rPr>
                <w:sz w:val="24"/>
                <w:b/>
              </w:rPr>
              <w:t>第五章  附则</w:t>
            </w:r>
          </w:p>
          <w:p>
            <w:pPr>
              <w:pStyle w:val="null3"/>
              <w:ind w:firstLine="482"/>
              <w:jc w:val="both"/>
            </w:pPr>
            <w:r>
              <w:rPr>
                <w:sz w:val="24"/>
                <w:b/>
              </w:rPr>
              <w:t xml:space="preserve">第二十三条 </w:t>
            </w:r>
            <w:r>
              <w:rPr>
                <w:sz w:val="24"/>
              </w:rPr>
              <w:t>中标人如对本任务书有疑问，应在接到任务书后以书面形式提出，组织单位在收到意见后将以电子邮件或书面形式作出答复。</w:t>
            </w:r>
          </w:p>
          <w:p>
            <w:pPr>
              <w:pStyle w:val="null3"/>
              <w:ind w:firstLine="482"/>
              <w:jc w:val="both"/>
            </w:pPr>
            <w:r>
              <w:rPr>
                <w:sz w:val="24"/>
                <w:b/>
              </w:rPr>
              <w:t xml:space="preserve">第二十四条 </w:t>
            </w:r>
            <w:r>
              <w:rPr>
                <w:sz w:val="24"/>
              </w:rPr>
              <w:t>中标人所提交的规划成果有下列情形之一的视为成果无效，按技术服务合同规定承担相应责任。</w:t>
            </w:r>
          </w:p>
          <w:p>
            <w:pPr>
              <w:pStyle w:val="null3"/>
              <w:ind w:firstLine="480"/>
              <w:jc w:val="both"/>
            </w:pPr>
            <w:r>
              <w:rPr>
                <w:sz w:val="24"/>
              </w:rPr>
              <w:t>（1）提交的研究成果不符合本任务书规定的；</w:t>
            </w:r>
          </w:p>
          <w:p>
            <w:pPr>
              <w:pStyle w:val="null3"/>
              <w:ind w:firstLine="480"/>
              <w:jc w:val="both"/>
            </w:pPr>
            <w:r>
              <w:rPr>
                <w:sz w:val="24"/>
              </w:rPr>
              <w:t>（2）提交的图纸和文字辨认不清，内容不全或粗制滥造的；</w:t>
            </w:r>
          </w:p>
          <w:p>
            <w:pPr>
              <w:pStyle w:val="null3"/>
              <w:ind w:firstLine="480"/>
              <w:jc w:val="both"/>
            </w:pPr>
            <w:r>
              <w:rPr>
                <w:sz w:val="24"/>
              </w:rPr>
              <w:t>（3）未经组织单位同意逾期上报研究成果的。</w:t>
            </w:r>
          </w:p>
          <w:p>
            <w:pPr>
              <w:pStyle w:val="null3"/>
              <w:ind w:firstLine="482"/>
              <w:jc w:val="both"/>
            </w:pPr>
            <w:r>
              <w:rPr>
                <w:sz w:val="24"/>
                <w:b/>
              </w:rPr>
              <w:t>第二十五条</w:t>
            </w:r>
            <w:r>
              <w:rPr>
                <w:sz w:val="24"/>
              </w:rPr>
              <w:t xml:space="preserve"> 本规划任务书解释权归广州市规划和自然资源局所有。</w:t>
            </w:r>
          </w:p>
        </w:tc>
      </w:tr>
      <w:tr>
        <w:tc>
          <w:tcPr>
            <w:tcW w:type="dxa" w:w="2076"/>
          </w:tcPr>
          <w:p/>
        </w:tc>
        <w:tc>
          <w:tcPr>
            <w:tcW w:type="dxa" w:w="415"/>
          </w:tcPr>
          <w:p>
            <w:pPr>
              <w:pStyle w:val="null3"/>
            </w:pPr>
            <w:r>
              <w:rPr/>
              <w:t>6</w:t>
            </w:r>
          </w:p>
        </w:tc>
        <w:tc>
          <w:tcPr>
            <w:tcW w:type="dxa" w:w="5814"/>
          </w:tcPr>
          <w:p>
            <w:pPr>
              <w:pStyle w:val="null3"/>
              <w:jc w:val="center"/>
            </w:pPr>
            <w:r>
              <w:rPr>
                <w:sz w:val="24"/>
                <w:b/>
              </w:rPr>
              <w:t>第六章  其他要求</w:t>
            </w:r>
          </w:p>
          <w:p>
            <w:pPr>
              <w:pStyle w:val="null3"/>
              <w:ind w:firstLine="482"/>
              <w:jc w:val="both"/>
            </w:pPr>
            <w:r>
              <w:rPr>
                <w:sz w:val="24"/>
                <w:b/>
              </w:rPr>
              <w:t>第二十六条 其他要求</w:t>
            </w:r>
          </w:p>
          <w:p>
            <w:pPr>
              <w:pStyle w:val="null3"/>
              <w:ind w:firstLine="480"/>
              <w:jc w:val="both"/>
            </w:pPr>
            <w:r>
              <w:rPr>
                <w:sz w:val="24"/>
              </w:rPr>
              <w:t>1、工作时间计划和技术要求</w:t>
            </w:r>
          </w:p>
          <w:p>
            <w:pPr>
              <w:pStyle w:val="null3"/>
              <w:ind w:firstLine="480"/>
              <w:jc w:val="both"/>
            </w:pPr>
            <w:r>
              <w:rPr>
                <w:sz w:val="24"/>
              </w:rPr>
              <w:t>（1）工期计划：包括前期工作阶段、初步成果阶段、中期成果阶段和最终成果阶段。（注：上述各阶段工作时间具体以实际开展情况为准）。</w:t>
            </w:r>
          </w:p>
          <w:p>
            <w:pPr>
              <w:pStyle w:val="null3"/>
              <w:ind w:firstLine="480"/>
              <w:jc w:val="both"/>
            </w:pPr>
            <w:r>
              <w:rPr>
                <w:sz w:val="24"/>
              </w:rPr>
              <w:t>（2）如采购人未及时提供所需资料或书面反馈意见或未能按合同规定支付设计费给中标人时，工期应顺延。</w:t>
            </w:r>
          </w:p>
          <w:p>
            <w:pPr>
              <w:pStyle w:val="null3"/>
              <w:ind w:firstLine="480"/>
              <w:jc w:val="both"/>
            </w:pPr>
            <w:r>
              <w:rPr>
                <w:sz w:val="24"/>
              </w:rPr>
              <w:t>（3）技术要求：符合《中华人民共和国城乡规划法》等现行的国家和地方有关法律、法规以及相关规范的技术要求。</w:t>
            </w:r>
          </w:p>
          <w:p>
            <w:pPr>
              <w:pStyle w:val="null3"/>
              <w:ind w:firstLine="480"/>
              <w:jc w:val="both"/>
            </w:pPr>
            <w:r>
              <w:rPr>
                <w:sz w:val="24"/>
              </w:rPr>
              <w:t>2、本项目前期要求</w:t>
            </w:r>
          </w:p>
          <w:p>
            <w:pPr>
              <w:pStyle w:val="null3"/>
              <w:ind w:firstLine="480"/>
              <w:jc w:val="both"/>
            </w:pPr>
            <w:r>
              <w:rPr>
                <w:sz w:val="24"/>
              </w:rPr>
              <w:t>投标人需要分理解和掌握项目背景、政策要求等内容，并对广州市城市安全韧性水平进行分析；开展旅游居住设施、医疗应急服务点、城郊大型仓储基地等设施现状分析与需求分析，为保障项目的成果质量提供支持。</w:t>
            </w:r>
          </w:p>
          <w:p>
            <w:pPr>
              <w:pStyle w:val="null3"/>
              <w:ind w:firstLine="480"/>
              <w:jc w:val="both"/>
            </w:pPr>
            <w:r>
              <w:rPr>
                <w:sz w:val="24"/>
              </w:rPr>
              <w:t>项目实施前拟定详细可行的技术路线和工作思路，并明确且掌握本地现行项目相关规范和标准。</w:t>
            </w:r>
          </w:p>
          <w:p>
            <w:pPr>
              <w:pStyle w:val="null3"/>
              <w:ind w:firstLine="480"/>
              <w:jc w:val="both"/>
            </w:pPr>
            <w:r>
              <w:rPr>
                <w:sz w:val="24"/>
              </w:rPr>
              <w:t>3、本项目重点、难点</w:t>
            </w:r>
          </w:p>
          <w:p>
            <w:pPr>
              <w:pStyle w:val="null3"/>
              <w:ind w:firstLine="480"/>
              <w:jc w:val="both"/>
            </w:pPr>
            <w:r>
              <w:rPr>
                <w:sz w:val="24"/>
              </w:rPr>
              <w:t>本项目聚焦广州市城市发展定位，助力提升广州市城市韧性，统筹推进应急管理与乡村治理资源整合，促进全市高质量发展、推动高效能治理、保障高水平安全，特开展广州市“平急两用”公共基础设施建设总体规划编制工作。由于规划设计需要考虑到很多外部因素，比如政策、经济、社会、环境等，实施本项目的技术要求较高，需要综合运用多种技术手段，如地理信息系统、项目选址、建筑设计等，同时对项目团队人员的专业能力要求较高。</w:t>
            </w:r>
          </w:p>
          <w:p>
            <w:pPr>
              <w:pStyle w:val="null3"/>
              <w:ind w:firstLine="480"/>
              <w:jc w:val="both"/>
            </w:pPr>
            <w:r>
              <w:rPr>
                <w:sz w:val="24"/>
              </w:rPr>
              <w:t>4、质量保障要求</w:t>
            </w:r>
          </w:p>
          <w:p>
            <w:pPr>
              <w:pStyle w:val="null3"/>
              <w:ind w:firstLine="480"/>
              <w:jc w:val="both"/>
            </w:pPr>
            <w:r>
              <w:rPr>
                <w:sz w:val="24"/>
              </w:rPr>
              <w:t>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w:t>
            </w:r>
          </w:p>
          <w:p>
            <w:pPr>
              <w:pStyle w:val="null3"/>
              <w:ind w:firstLine="480"/>
              <w:jc w:val="both"/>
            </w:pPr>
            <w:r>
              <w:rPr>
                <w:sz w:val="24"/>
              </w:rPr>
              <w:t>制定对规划长期跟踪研究的服务方案及时发现规划实施过程中出现的问题，反馈并提出调整建议，对规划项目进行必要优化，为规划的优化和完善提供专业的技术支持和建议。</w:t>
            </w:r>
          </w:p>
          <w:p>
            <w:pPr>
              <w:pStyle w:val="null3"/>
              <w:ind w:firstLine="480"/>
              <w:jc w:val="both"/>
            </w:pPr>
            <w:r>
              <w:rPr>
                <w:sz w:val="24"/>
              </w:rPr>
              <w:t>5、人员要求</w:t>
            </w:r>
          </w:p>
          <w:p>
            <w:pPr>
              <w:pStyle w:val="null3"/>
              <w:ind w:firstLine="480"/>
              <w:jc w:val="both"/>
            </w:pPr>
            <w:r>
              <w:rPr>
                <w:sz w:val="24"/>
              </w:rPr>
              <w:t>本项目要求投标人拟投入本项目的项目团队人员具备与本项目相关的专业知识。</w:t>
            </w:r>
          </w:p>
          <w:p>
            <w:pPr>
              <w:pStyle w:val="null3"/>
              <w:ind w:firstLine="480"/>
              <w:jc w:val="both"/>
            </w:pPr>
            <w:r>
              <w:rPr>
                <w:sz w:val="24"/>
              </w:rPr>
              <w:t>（1）项目负责人（1人）需具备城市（乡）规划专业高级工程师（或以上）职称证书，负责项目的总体协调，能够统筹项目管理、技术管理。</w:t>
            </w:r>
          </w:p>
          <w:p>
            <w:pPr>
              <w:pStyle w:val="null3"/>
              <w:ind w:firstLine="480"/>
              <w:jc w:val="both"/>
            </w:pPr>
            <w:r>
              <w:rPr>
                <w:sz w:val="24"/>
              </w:rPr>
              <w:t>（2）项目技术团队（项目负责人除外）需包含：</w:t>
            </w:r>
          </w:p>
          <w:p>
            <w:pPr>
              <w:pStyle w:val="null3"/>
              <w:ind w:firstLine="480"/>
              <w:jc w:val="both"/>
            </w:pPr>
            <w:r>
              <w:rPr>
                <w:sz w:val="24"/>
              </w:rPr>
              <w:t>①不少于2人需具备城市（乡）规划专业高级（或教授级高级）工程师职称证书；</w:t>
            </w:r>
          </w:p>
          <w:p>
            <w:pPr>
              <w:pStyle w:val="null3"/>
              <w:ind w:firstLine="480"/>
              <w:jc w:val="left"/>
            </w:pPr>
            <w:r>
              <w:rPr>
                <w:sz w:val="24"/>
              </w:rPr>
              <w:t>②项目团队人员中需具备土地资源管理、建筑、道路交通（或市政路桥设计）、给排水、经济学、电气类相关专业高级或以上职称的人员，每个专业不少于1人，能够充分理解项目需求，完成工作任务。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重点地区及重要专项领域规划编制经费—广州市“平急两用”公共基础设施建设总体规划)：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采购包1（重点地区及重要专项领域规划编制经费—广州市“平急两用”公共基础设施建设总体规划）：</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采购包1（重点地区及重要专项领域规划编制经费—广州市“平急两用”公共基础设施建设总体规划）：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投标人须具有城乡规划编制乙级（或以上）资质</w:t>
            </w:r>
          </w:p>
        </w:tc>
        <w:tc>
          <w:tcPr>
            <w:tcW w:type="dxa" w:w="4238"/>
          </w:tcPr>
          <w:p>
            <w:pPr>
              <w:pStyle w:val="null3"/>
            </w:pPr>
            <w:r>
              <w:rPr/>
              <w:t>投标人须具有城乡规划编制乙级（或以上）资质（根据《自然资源部办公厅关于城乡规划编制单位甲级资质证书延期有关事宜的通知》的规定，有效期至2023年12月31日的城乡规划编制单位甲级资质证书，有效期延长至2025年12月31日；各省（自治区、直辖市）自然资源主管部门及新疆生产建设兵团自然资源局对乙级城乡规划编制单位资质的管理可参照该文执行。如相关主管部门有最新政策，按最新政策执行）。如为联合体投标的，则须联合体牵头方具有相关资质。（提供证书复印件）</w:t>
            </w:r>
          </w:p>
        </w:tc>
      </w:tr>
      <w:tr>
        <w:tc>
          <w:tcPr>
            <w:tcW w:type="dxa" w:w="890"/>
          </w:tcPr>
          <w:p>
            <w:pPr>
              <w:pStyle w:val="null3"/>
            </w:pPr>
            <w:r>
              <w:rPr/>
              <w:t>11</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采购包1（重点地区及重要专项领域规划编制经费—广州市“平急两用”公共基础设施建设总体规划）：</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采购包1(重点地区及重要专项领域规划编制经费—广州市“平急两用”公共基础设施建设总体规划):</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对项目的熟悉程度 (6.0分)</w:t>
            </w:r>
            <w:r>
              <w:rPr/>
              <w:t>，（等次分值选择：</w:t>
            </w:r>
            <w:r>
              <w:rPr/>
              <w:t>0.0;</w:t>
            </w:r>
            <w:r>
              <w:rPr/>
              <w:t>2.0;</w:t>
            </w:r>
            <w:r>
              <w:rPr/>
              <w:t>4.0;</w:t>
            </w:r>
            <w:r>
              <w:rPr/>
              <w:t>6.0;</w:t>
            </w:r>
            <w:r>
              <w:rPr/>
              <w:t>）</w:t>
            </w:r>
          </w:p>
        </w:tc>
        <w:tc>
          <w:tcPr>
            <w:tcW w:type="dxa" w:w="5076"/>
          </w:tcPr>
          <w:p>
            <w:pPr>
              <w:pStyle w:val="null3"/>
              <w:jc w:val="left"/>
            </w:pPr>
            <w:r>
              <w:rPr/>
              <w:t>根据采购需求中的项目背景，对投标人对本项目理解情况进行评审： 1.投标人充分理解和掌握项目背景、政策要求等内容，优于采购需求，得6分； 2.投标人能理解和掌握项目背景、政策要求等内容，满足采购需求，得4分； 3.投标人理解和掌握部分项目背景、政策要求等内容，部分满足采购需求，得2分； 4.其它或没有提供方案，得0分。</w:t>
            </w:r>
          </w:p>
        </w:tc>
      </w:tr>
      <w:tr>
        <w:tc>
          <w:tcPr>
            <w:tcW w:type="dxa" w:w="922"/>
            <w:gridSpan w:val="2"/>
            <w:vMerge/>
          </w:tcPr>
          <w:p/>
        </w:tc>
        <w:tc>
          <w:tcPr>
            <w:tcW w:type="dxa" w:w="2307"/>
          </w:tcPr>
          <w:p>
            <w:pPr>
              <w:pStyle w:val="null3"/>
              <w:jc w:val="left"/>
            </w:pPr>
            <w:r>
              <w:rPr/>
              <w:t>对区域现状情况的掌握及任务理解 (8.0分)</w:t>
            </w:r>
            <w:r>
              <w:rPr/>
              <w:t>，（等次分值选择：</w:t>
            </w:r>
            <w:r>
              <w:rPr/>
              <w:t>0.0;</w:t>
            </w:r>
            <w:r>
              <w:rPr/>
              <w:t>2.0;</w:t>
            </w:r>
            <w:r>
              <w:rPr/>
              <w:t>4.0;</w:t>
            </w:r>
            <w:r>
              <w:rPr/>
              <w:t>8.0;</w:t>
            </w:r>
            <w:r>
              <w:rPr/>
              <w:t>）</w:t>
            </w:r>
          </w:p>
        </w:tc>
        <w:tc>
          <w:tcPr>
            <w:tcW w:type="dxa" w:w="5076"/>
          </w:tcPr>
          <w:p>
            <w:pPr>
              <w:pStyle w:val="null3"/>
              <w:jc w:val="left"/>
            </w:pPr>
            <w:r>
              <w:rPr/>
              <w:t>根据采购需求中的工作范围及内容，对投标人对规划区域现状情况的认识程度进行评审： 1.投标人充分掌握区域现状情况，对“平急两用”旅游居住设施、医疗应急服务点、城郊大型仓储基地等存量资源分析，以及各类“平急两用”公共基础设施需求分析等内容分析详细、准确，优于采购需求，得8分； 2.投标人掌握区域现状情况，对“平急两用”旅游居住设施、医疗应急服务点、城郊大型仓储基地等存量资源分析，以及各类“平急两用”公共基础设施需求分析等内容分析较为准确，满足采购需求，得4分； 3.投标人掌握部分区域现状情况，对“平急两用”旅游居住设施、医疗应急服务点、城郊大型仓储基地等存量资源分析，以及各类“平急两用”公共基础设施需求分析等内容分析部分准确，部分满足采购需求，得2分；4.其它或没有提供方案，得0分。</w:t>
            </w:r>
          </w:p>
        </w:tc>
      </w:tr>
      <w:tr>
        <w:tc>
          <w:tcPr>
            <w:tcW w:type="dxa" w:w="922"/>
            <w:gridSpan w:val="2"/>
            <w:vMerge/>
          </w:tcPr>
          <w:p/>
        </w:tc>
        <w:tc>
          <w:tcPr>
            <w:tcW w:type="dxa" w:w="2307"/>
          </w:tcPr>
          <w:p>
            <w:pPr>
              <w:pStyle w:val="null3"/>
              <w:jc w:val="left"/>
            </w:pPr>
            <w:r>
              <w:rPr/>
              <w:t>项目技术路线和工作思路 (6.0分)</w:t>
            </w:r>
            <w:r>
              <w:rPr/>
              <w:t>，（等次分值选择：</w:t>
            </w:r>
            <w:r>
              <w:rPr/>
              <w:t>0.0;</w:t>
            </w:r>
            <w:r>
              <w:rPr/>
              <w:t>2.0;</w:t>
            </w:r>
            <w:r>
              <w:rPr/>
              <w:t>4.0;</w:t>
            </w:r>
            <w:r>
              <w:rPr/>
              <w:t>6.0;</w:t>
            </w:r>
            <w:r>
              <w:rPr/>
              <w:t>）</w:t>
            </w:r>
          </w:p>
        </w:tc>
        <w:tc>
          <w:tcPr>
            <w:tcW w:type="dxa" w:w="5076"/>
          </w:tcPr>
          <w:p>
            <w:pPr>
              <w:pStyle w:val="null3"/>
              <w:jc w:val="left"/>
            </w:pPr>
            <w:r>
              <w:rPr/>
              <w:t>根据采购需求中的工作范围及内容，对投标人为本项目提供的项目技术路线和工作思路进行评审： 1.项目技术路线和工作思路详细完整且重点突出，准备采取的技术手段明确，能提供具体步骤及解决关键性问题的方法，工作分工明确，优于采购需求，得6分； 2.项目技术路线和工作思路线基本完整，准备采取的技术手段基本明确，能提供相关的步骤及解决关键性问题的方法，工作分工基本明确，满足采购需求，得4分； 3.项目技术路线和工作思路不够完整、内容简单，准备采取的技术手段不明确，能提供简单的步骤，有工作分工，部分满足采购需求，得2分； 4.其它或没有提供方案，得0分。</w:t>
            </w:r>
          </w:p>
        </w:tc>
      </w:tr>
      <w:tr>
        <w:tc>
          <w:tcPr>
            <w:tcW w:type="dxa" w:w="922"/>
            <w:gridSpan w:val="2"/>
            <w:vMerge/>
          </w:tcPr>
          <w:p/>
        </w:tc>
        <w:tc>
          <w:tcPr>
            <w:tcW w:type="dxa" w:w="2307"/>
          </w:tcPr>
          <w:p>
            <w:pPr>
              <w:pStyle w:val="null3"/>
              <w:jc w:val="left"/>
            </w:pPr>
            <w:r>
              <w:rPr/>
              <w:t>对项目重点、难点的理解和分析 (8.0分)</w:t>
            </w:r>
          </w:p>
        </w:tc>
        <w:tc>
          <w:tcPr>
            <w:tcW w:type="dxa" w:w="5076"/>
          </w:tcPr>
          <w:p>
            <w:pPr>
              <w:pStyle w:val="null3"/>
              <w:jc w:val="left"/>
            </w:pPr>
            <w:r>
              <w:rPr/>
              <w:t>对投标人为本项目提供的项目重点、难点和关键点分析及合理化建议（包括①项目重点、难点和关键点分析；②针对重难点的合理化建议）进行评审： （1）能根据采购需求列举本项目的重难点，每列举一项得1分，本小项最高得4分； （2）根据上述的重难点提出响应的措施建议，每提出一条有效解决措施得1分，本小项最高得4分。</w:t>
            </w:r>
          </w:p>
        </w:tc>
      </w:tr>
      <w:tr>
        <w:tc>
          <w:tcPr>
            <w:tcW w:type="dxa" w:w="922"/>
            <w:gridSpan w:val="2"/>
            <w:vMerge/>
          </w:tcPr>
          <w:p/>
        </w:tc>
        <w:tc>
          <w:tcPr>
            <w:tcW w:type="dxa" w:w="2307"/>
          </w:tcPr>
          <w:p>
            <w:pPr>
              <w:pStyle w:val="null3"/>
              <w:jc w:val="left"/>
            </w:pPr>
            <w:r>
              <w:rPr/>
              <w:t>项目研究方案 (12.0分)</w:t>
            </w:r>
            <w:r>
              <w:rPr/>
              <w:t>，（等次分值选择：</w:t>
            </w:r>
            <w:r>
              <w:rPr/>
              <w:t>0.0;</w:t>
            </w:r>
            <w:r>
              <w:rPr/>
              <w:t>2.0;</w:t>
            </w:r>
            <w:r>
              <w:rPr/>
              <w:t>6.0;</w:t>
            </w:r>
            <w:r>
              <w:rPr/>
              <w:t>12.0;</w:t>
            </w:r>
            <w:r>
              <w:rPr/>
              <w:t>）</w:t>
            </w:r>
          </w:p>
        </w:tc>
        <w:tc>
          <w:tcPr>
            <w:tcW w:type="dxa" w:w="5076"/>
          </w:tcPr>
          <w:p>
            <w:pPr>
              <w:pStyle w:val="null3"/>
              <w:jc w:val="left"/>
            </w:pPr>
            <w:r>
              <w:rPr/>
              <w:t>投标人提供的项目研究方案，主要内容包括但不限于：①城市韧性评估，②“平急两用”设施需求分析，③目标与指标，④选址与建设指引，⑤规划空间布局，⑥分区规划指引，⑦近期行动与项目，⑧实施保障。根据采购需求的要求，对投标人提供的项目研究方案进行评审： 1.项目研究方案能体现采购需求的目标和全部工作要求和内容，研究框架清晰、科学、可行，建设目标设置合理，规划设计指引科学详实，近期行动计划精准清晰，规划实施保障有力，优于采购需求，得12分； 2.项目研究方案基本能体现采购需求的目标和原则，研究框架合理可行，建设目标基本合理，规划设计指引基本准确，近期行动计划基本可行，规划实施保障基本符合，满足采购需求，得6分； 3.项目研究方案能部分体现采购需求的目标和原则，研究框架基本合理，建设目标设置一般，规划设计指引部分准确，近期行动计划部分可行，规划实施保障部分符合，部分满足采购需求，得2分； 4.其它或没有提供方案，得0分。</w:t>
            </w:r>
          </w:p>
        </w:tc>
      </w:tr>
      <w:tr>
        <w:tc>
          <w:tcPr>
            <w:tcW w:type="dxa" w:w="922"/>
            <w:gridSpan w:val="2"/>
            <w:vMerge/>
          </w:tcPr>
          <w:p/>
        </w:tc>
        <w:tc>
          <w:tcPr>
            <w:tcW w:type="dxa" w:w="2307"/>
          </w:tcPr>
          <w:p>
            <w:pPr>
              <w:pStyle w:val="null3"/>
              <w:jc w:val="left"/>
            </w:pPr>
            <w:r>
              <w:rPr/>
              <w:t>工作时间计划和质量保障措施 (5.0分)</w:t>
            </w:r>
            <w:r>
              <w:rPr/>
              <w:t>，（等次分值选择：</w:t>
            </w:r>
            <w:r>
              <w:rPr/>
              <w:t>0.0;</w:t>
            </w:r>
            <w:r>
              <w:rPr/>
              <w:t>1.0;</w:t>
            </w:r>
            <w:r>
              <w:rPr/>
              <w:t>3.0;</w:t>
            </w:r>
            <w:r>
              <w:rPr/>
              <w:t>5.0;</w:t>
            </w:r>
            <w:r>
              <w:rPr/>
              <w:t>）</w:t>
            </w:r>
          </w:p>
        </w:tc>
        <w:tc>
          <w:tcPr>
            <w:tcW w:type="dxa" w:w="5076"/>
          </w:tcPr>
          <w:p>
            <w:pPr>
              <w:pStyle w:val="null3"/>
              <w:jc w:val="left"/>
            </w:pPr>
            <w:r>
              <w:rPr/>
              <w:t>根据采购需求中的工作时间计划、技术要求和质量保障要求，对投标人提供的工作时间计划和质量保障措施进行评审： 1.投标人能提供详细明确的项目工作时间安排，有设定明确的实施计划流程，每个工作节点衔接顺畅，质量保障措施和保密措施完整，目标明确，能提供详细的质量和保密控制过程所使用的方法、风险预防和应对措施，优于采购需求，得5分； 2.投标人制定项目工作时间安排、实施计划流程和工作计划简单，质量保障措施和保密措施基本完整，目标基本明确，能提供简单的质量和保密控制过程所使用的方法、风险预防和应对措施，满足采购需求，得3分； 3.投标人制定项目工作时间安排、实施计划流程和工作计划有缺漏，质量保障措施和保密措施简单，能提供简单的质量和保密控制过程所使用的方法，部分满足采购需求，得1分； 4.其它或没有提供方案，得0分。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自2021年至今同类项目业绩 (10.0分)</w:t>
            </w:r>
          </w:p>
        </w:tc>
        <w:tc>
          <w:tcPr>
            <w:tcW w:type="dxa" w:w="5076"/>
          </w:tcPr>
          <w:p>
            <w:pPr>
              <w:pStyle w:val="null3"/>
              <w:jc w:val="left"/>
            </w:pPr>
            <w:r>
              <w:rPr/>
              <w:t>投标人2021年1月1日（以合同签订时间为准）至今： （1）承接过“平急两用”规划或研究相关项目，每提供一项得2分，最高得8分。 （2）承接过医疗卫生、旅游居住设施、城郊大仓基地设施布局专项规划类项目，每提供一项得0.5分，最高得2分。以上各类相关项目至少需提供一项方可得分，最高得10分。 注：需提供合同关键页（含签订合同双方的单位名称、合同项目名称与含签订合同双方的落款盖章、签订日期的关键页）扫描件，控规调整项目另需提供政府或相关部门的会议纪要或批复文件等相关证明材料复印件，否则无效。</w:t>
            </w:r>
          </w:p>
        </w:tc>
      </w:tr>
      <w:tr>
        <w:tc>
          <w:tcPr>
            <w:tcW w:type="dxa" w:w="922"/>
            <w:gridSpan w:val="2"/>
            <w:vMerge/>
          </w:tcPr>
          <w:p/>
        </w:tc>
        <w:tc>
          <w:tcPr>
            <w:tcW w:type="dxa" w:w="2307"/>
          </w:tcPr>
          <w:p>
            <w:pPr>
              <w:pStyle w:val="null3"/>
              <w:jc w:val="left"/>
            </w:pPr>
            <w:r>
              <w:rPr/>
              <w:t>项目负责人情况 (7.0分)</w:t>
            </w:r>
          </w:p>
        </w:tc>
        <w:tc>
          <w:tcPr>
            <w:tcW w:type="dxa" w:w="5076"/>
          </w:tcPr>
          <w:p>
            <w:pPr>
              <w:pStyle w:val="null3"/>
              <w:jc w:val="left"/>
            </w:pPr>
            <w:r>
              <w:rPr/>
              <w:t>项目负责人具备城市（乡）规划专业正高级（教授级高级）工程师职称证书的，得7分；具备城市（乡）规划专业高级工程师职称证书的，得3分；其他情况不得分。本项最高得7分。注：需提供职称证及在本单位任职的外部证明材料（如投标截止日之前六个月内任意月份的代缴个税税单或参加社会保险的《投保单》或《社会保险参保人员证明》或劳动合同扫描件）等相关证明材料复印件或扫描件，不提供不得分。</w:t>
            </w:r>
          </w:p>
        </w:tc>
      </w:tr>
      <w:tr>
        <w:tc>
          <w:tcPr>
            <w:tcW w:type="dxa" w:w="922"/>
            <w:gridSpan w:val="2"/>
            <w:vMerge/>
          </w:tcPr>
          <w:p/>
        </w:tc>
        <w:tc>
          <w:tcPr>
            <w:tcW w:type="dxa" w:w="2307"/>
          </w:tcPr>
          <w:p>
            <w:pPr>
              <w:pStyle w:val="null3"/>
              <w:jc w:val="left"/>
            </w:pPr>
            <w:r>
              <w:rPr/>
              <w:t>团队成员配备 (20.0分)</w:t>
            </w:r>
          </w:p>
        </w:tc>
        <w:tc>
          <w:tcPr>
            <w:tcW w:type="dxa" w:w="5076"/>
          </w:tcPr>
          <w:p>
            <w:pPr>
              <w:pStyle w:val="null3"/>
              <w:jc w:val="left"/>
            </w:pPr>
            <w:r>
              <w:rPr/>
              <w:t>拟派本项目团队的构成情况（除项目负责人外）： （1）项目团队人员中配备城市（乡）规划专业高级（或教授级高级）工程师职称的，有6人（或以上）满足要求的得8分，具有5人（或以上）的得6分，具有4人（或以上）的得4分，具有3人（或以上）的得3分，具有2人（或以上）的得2分，少于2人不得分。 （2）项目团队人员中具备①土地资源管理、②建筑、③道路交通（或市政路桥设计）、④给排水、⑤经济学、⑥电气类相关专业高级或以上职称的，每提供一个证书得1分，每个专业人员不超过2人，本项最高得12分。 （3）其他情况不得分。 注：每个人只计1个专业，本项累计最高得20分。需提供在本单位任职的外部证明材料（如投标截止日之前六个月内任意月份的代缴个税税单或参加社会保险的《投保单》或《社会保险参保人员证明》或劳动合同扫描件）等相关证明材料复印件或扫描件，不提供不得分及职称证书复印件或网页查询截图（显示查询链接）。</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期内质量管理体系认证证书，得3分。注：投标人须提供相应有效期内的认证证书复印件及网上查询截图（中国国家认证认可监督管理委员会http://www.cnca.gov.cn/或国家市场监督管理总局http://cx.cnca.cn/），并加盖投标人单位公章，未提供证明材料或证明材料不全的不得分。新成立的公司因实施运行不满3个月无法办理认证证书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0"/>
        <w:jc w:val="both"/>
      </w:pPr>
      <w:r>
        <w:rPr>
          <w:sz w:val="24"/>
        </w:rPr>
        <w:t>合同编号：</w:t>
      </w:r>
    </w:p>
    <w:p>
      <w:pPr>
        <w:pStyle w:val="null3"/>
        <w:ind w:firstLine="640"/>
        <w:jc w:val="center"/>
      </w:pPr>
      <w:r>
        <w:rPr/>
        <w:t xml:space="preserve"> </w:t>
      </w:r>
    </w:p>
    <w:p>
      <w:pPr>
        <w:pStyle w:val="null3"/>
        <w:ind w:firstLine="1040"/>
        <w:jc w:val="center"/>
      </w:pPr>
      <w:r>
        <w:rPr/>
        <w:t xml:space="preserve"> </w:t>
      </w:r>
    </w:p>
    <w:p>
      <w:pPr>
        <w:pStyle w:val="null3"/>
        <w:ind w:firstLine="1040"/>
        <w:jc w:val="center"/>
      </w:pPr>
      <w:r>
        <w:rPr/>
        <w:t xml:space="preserve"> </w:t>
      </w:r>
    </w:p>
    <w:p>
      <w:pPr>
        <w:pStyle w:val="null3"/>
        <w:ind w:firstLine="1040"/>
        <w:jc w:val="center"/>
      </w:pPr>
      <w:r>
        <w:rPr/>
        <w:t xml:space="preserve"> </w:t>
      </w:r>
    </w:p>
    <w:p>
      <w:pPr>
        <w:pStyle w:val="null3"/>
        <w:ind w:firstLine="1040"/>
        <w:jc w:val="center"/>
      </w:pPr>
      <w:r>
        <w:rPr/>
        <w:t xml:space="preserve"> </w:t>
      </w:r>
    </w:p>
    <w:p>
      <w:pPr>
        <w:pStyle w:val="null3"/>
        <w:ind w:firstLine="1040"/>
        <w:jc w:val="center"/>
      </w:pPr>
      <w:r>
        <w:rPr>
          <w:sz w:val="72"/>
          <w:b/>
        </w:rPr>
        <w:t>技 术 服 务 合 同</w:t>
      </w:r>
    </w:p>
    <w:p>
      <w:pPr>
        <w:pStyle w:val="null3"/>
        <w:ind w:firstLine="1040"/>
        <w:jc w:val="center"/>
      </w:pPr>
      <w:r>
        <w:rPr/>
        <w:t xml:space="preserve"> </w:t>
      </w:r>
    </w:p>
    <w:p>
      <w:pPr>
        <w:pStyle w:val="null3"/>
        <w:ind w:firstLine="1040"/>
        <w:jc w:val="center"/>
      </w:pPr>
      <w:r>
        <w:rPr/>
        <w:t xml:space="preserve"> </w:t>
      </w:r>
    </w:p>
    <w:p>
      <w:pPr>
        <w:pStyle w:val="null3"/>
        <w:ind w:firstLine="1040"/>
        <w:jc w:val="center"/>
      </w:pPr>
      <w:r>
        <w:rPr/>
        <w:t xml:space="preserve"> </w:t>
      </w:r>
    </w:p>
    <w:p>
      <w:pPr>
        <w:pStyle w:val="null3"/>
        <w:ind w:firstLine="1040"/>
        <w:jc w:val="center"/>
      </w:pPr>
      <w:r>
        <w:rPr/>
        <w:t xml:space="preserve"> </w:t>
      </w:r>
    </w:p>
    <w:p>
      <w:pPr>
        <w:pStyle w:val="null3"/>
        <w:ind w:firstLine="1040"/>
        <w:jc w:val="center"/>
      </w:pPr>
      <w:r>
        <w:rPr/>
        <w:t xml:space="preserve"> </w:t>
      </w:r>
    </w:p>
    <w:p>
      <w:pPr>
        <w:pStyle w:val="null3"/>
        <w:ind w:firstLine="1040"/>
        <w:jc w:val="center"/>
      </w:pPr>
      <w:r>
        <w:rPr/>
        <w:t xml:space="preserve"> </w:t>
      </w:r>
    </w:p>
    <w:p>
      <w:pPr>
        <w:pStyle w:val="null3"/>
        <w:ind w:firstLine="1040"/>
        <w:jc w:val="center"/>
      </w:pPr>
      <w:r>
        <w:rPr/>
        <w:t xml:space="preserve"> </w:t>
      </w:r>
    </w:p>
    <w:p>
      <w:pPr>
        <w:pStyle w:val="null3"/>
        <w:ind w:firstLine="640"/>
        <w:jc w:val="center"/>
      </w:pPr>
      <w:r>
        <w:rPr>
          <w:sz w:val="30"/>
        </w:rPr>
        <w:t>项目名称：</w:t>
      </w:r>
      <w:r>
        <w:rPr>
          <w:sz w:val="30"/>
          <w:u w:val="single"/>
        </w:rPr>
        <w:t>重点地区及重要专项领域规划编制经费—广州市“平急两用”公共基础设施建设总体规划</w:t>
      </w:r>
    </w:p>
    <w:p>
      <w:pPr>
        <w:pStyle w:val="null3"/>
        <w:ind w:firstLine="640"/>
        <w:jc w:val="both"/>
      </w:pPr>
      <w:r>
        <w:rPr/>
        <w:t xml:space="preserve"> </w:t>
      </w:r>
    </w:p>
    <w:p>
      <w:pPr>
        <w:pStyle w:val="null3"/>
        <w:ind w:firstLine="640"/>
        <w:jc w:val="both"/>
      </w:pPr>
      <w:r>
        <w:rPr>
          <w:sz w:val="30"/>
        </w:rPr>
        <w:t>委托方：（甲方）</w:t>
      </w:r>
      <w:r>
        <w:rPr>
          <w:sz w:val="30"/>
          <w:u w:val="single"/>
        </w:rPr>
        <w:t>广州市规划和自然资源局</w:t>
      </w:r>
    </w:p>
    <w:p>
      <w:pPr>
        <w:pStyle w:val="null3"/>
        <w:ind w:firstLine="640"/>
        <w:jc w:val="both"/>
      </w:pPr>
      <w:r>
        <w:rPr/>
        <w:t xml:space="preserve"> </w:t>
      </w:r>
    </w:p>
    <w:p>
      <w:pPr>
        <w:pStyle w:val="null3"/>
        <w:ind w:firstLine="640"/>
        <w:jc w:val="both"/>
      </w:pPr>
      <w:r>
        <w:rPr>
          <w:sz w:val="30"/>
        </w:rPr>
        <w:t>受托方：（乙方）</w:t>
      </w:r>
    </w:p>
    <w:p>
      <w:pPr>
        <w:pStyle w:val="null3"/>
        <w:ind w:firstLine="640"/>
        <w:jc w:val="both"/>
      </w:pPr>
      <w:r>
        <w:rPr/>
        <w:t xml:space="preserve"> </w:t>
      </w:r>
    </w:p>
    <w:p>
      <w:pPr>
        <w:pStyle w:val="null3"/>
        <w:ind w:firstLine="640"/>
        <w:jc w:val="both"/>
      </w:pPr>
      <w:r>
        <w:rPr/>
        <w:t xml:space="preserve"> </w:t>
      </w:r>
    </w:p>
    <w:p>
      <w:pPr>
        <w:pStyle w:val="null3"/>
        <w:ind w:firstLine="640"/>
        <w:jc w:val="both"/>
      </w:pPr>
      <w:r>
        <w:rPr>
          <w:sz w:val="30"/>
        </w:rPr>
        <w:t>签订时间：</w:t>
      </w:r>
      <w:r>
        <w:rPr>
          <w:sz w:val="30"/>
          <w:u w:val="single"/>
        </w:rPr>
        <w:t xml:space="preserve">    年   月</w:t>
      </w:r>
    </w:p>
    <w:p>
      <w:pPr>
        <w:pStyle w:val="null3"/>
        <w:ind w:firstLine="640"/>
        <w:jc w:val="both"/>
      </w:pPr>
      <w:r>
        <w:rPr/>
        <w:t xml:space="preserve"> </w:t>
      </w:r>
    </w:p>
    <w:p>
      <w:pPr>
        <w:pStyle w:val="null3"/>
        <w:ind w:firstLine="640"/>
        <w:jc w:val="both"/>
      </w:pPr>
      <w:r>
        <w:rPr>
          <w:sz w:val="30"/>
        </w:rPr>
        <w:t>签订地点：</w:t>
      </w:r>
      <w:r>
        <w:rPr>
          <w:sz w:val="30"/>
          <w:u w:val="single"/>
        </w:rPr>
        <w:t>中国广州市</w:t>
      </w:r>
    </w:p>
    <w:p>
      <w:pPr>
        <w:pStyle w:val="null3"/>
        <w:ind w:firstLine="640"/>
        <w:jc w:val="both"/>
      </w:pPr>
      <w:r>
        <w:rPr/>
        <w:t xml:space="preserve"> </w:t>
      </w:r>
    </w:p>
    <w:p>
      <w:pPr>
        <w:pStyle w:val="null3"/>
        <w:ind w:firstLine="640"/>
        <w:jc w:val="both"/>
      </w:pPr>
      <w:r>
        <w:rPr>
          <w:sz w:val="30"/>
        </w:rPr>
        <w:t>有效期限：</w:t>
      </w:r>
      <w:r>
        <w:rPr>
          <w:sz w:val="30"/>
          <w:u w:val="single"/>
        </w:rPr>
        <w:t xml:space="preserve">    年   月</w:t>
      </w:r>
    </w:p>
    <w:p>
      <w:pPr>
        <w:pStyle w:val="null3"/>
        <w:ind w:firstLine="560"/>
        <w:jc w:val="both"/>
      </w:pPr>
      <w:r>
        <w:rPr/>
        <w:t xml:space="preserve"> </w:t>
      </w:r>
    </w:p>
    <w:p>
      <w:pPr>
        <w:pStyle w:val="null3"/>
        <w:ind w:firstLine="560"/>
        <w:jc w:val="center"/>
      </w:pPr>
      <w:r>
        <w:rPr/>
        <w:t xml:space="preserve"> </w:t>
      </w:r>
    </w:p>
    <w:p>
      <w:pPr>
        <w:pStyle w:val="null3"/>
        <w:ind w:firstLine="560"/>
        <w:jc w:val="center"/>
      </w:pPr>
      <w:r>
        <w:rPr/>
        <w:t xml:space="preserve"> </w:t>
      </w:r>
    </w:p>
    <w:p>
      <w:pPr>
        <w:pStyle w:val="null3"/>
        <w:ind w:firstLine="560"/>
        <w:jc w:val="center"/>
      </w:pPr>
      <w:r>
        <w:rPr/>
        <w:t xml:space="preserve"> </w:t>
      </w:r>
    </w:p>
    <w:p>
      <w:pPr>
        <w:pStyle w:val="null3"/>
        <w:ind w:firstLine="560"/>
        <w:jc w:val="center"/>
      </w:pPr>
      <w:r>
        <w:rPr>
          <w:sz w:val="24"/>
        </w:rPr>
        <w:t>中华人民共和国科学技术部印制</w:t>
      </w:r>
    </w:p>
    <w:p>
      <w:pPr>
        <w:pStyle w:val="null3"/>
        <w:ind w:firstLine="560"/>
        <w:jc w:val="center"/>
      </w:pPr>
      <w:r>
        <w:rPr/>
        <w:t xml:space="preserve"> </w:t>
      </w:r>
    </w:p>
    <w:p>
      <w:pPr>
        <w:pStyle w:val="null3"/>
        <w:ind w:firstLine="560"/>
        <w:jc w:val="center"/>
      </w:pPr>
      <w:r>
        <w:rPr/>
        <w:t xml:space="preserve"> </w:t>
      </w:r>
    </w:p>
    <w:p>
      <w:pPr>
        <w:pStyle w:val="null3"/>
        <w:ind w:firstLine="560"/>
        <w:jc w:val="center"/>
      </w:pPr>
      <w:r>
        <w:rPr/>
        <w:t xml:space="preserve"> </w:t>
      </w:r>
    </w:p>
    <w:p>
      <w:pPr>
        <w:pStyle w:val="null3"/>
        <w:ind w:firstLine="560"/>
        <w:jc w:val="center"/>
      </w:pPr>
      <w:r>
        <w:rPr/>
        <w:t xml:space="preserve"> </w:t>
      </w:r>
    </w:p>
    <w:p>
      <w:pPr>
        <w:pStyle w:val="null3"/>
        <w:ind w:firstLine="560"/>
        <w:jc w:val="center"/>
      </w:pPr>
      <w:r>
        <w:rPr/>
        <w:t xml:space="preserve"> </w:t>
      </w:r>
    </w:p>
    <w:p>
      <w:pPr>
        <w:pStyle w:val="null3"/>
        <w:ind w:firstLine="560"/>
        <w:jc w:val="center"/>
      </w:pPr>
      <w:r>
        <w:rPr/>
        <w:t xml:space="preserve"> </w:t>
      </w:r>
    </w:p>
    <w:p>
      <w:pPr>
        <w:pStyle w:val="null3"/>
        <w:ind w:firstLine="640"/>
        <w:jc w:val="center"/>
      </w:pPr>
      <w:r>
        <w:rPr>
          <w:sz w:val="30"/>
          <w:b/>
        </w:rPr>
        <w:t>填写说明</w:t>
      </w:r>
    </w:p>
    <w:p>
      <w:pPr>
        <w:pStyle w:val="null3"/>
        <w:ind w:firstLine="560"/>
        <w:jc w:val="both"/>
      </w:pPr>
      <w:r>
        <w:rPr>
          <w:sz w:val="24"/>
        </w:rPr>
        <w:t>一、本合同为中华人民共和国科学技术部印制的技术服务合同示范文本，各技术合同认定登记机构可推介技术合同当事人参照使用。</w:t>
      </w:r>
    </w:p>
    <w:p>
      <w:pPr>
        <w:pStyle w:val="null3"/>
        <w:ind w:firstLine="560"/>
        <w:jc w:val="both"/>
      </w:pPr>
      <w:r>
        <w:rPr>
          <w:sz w:val="24"/>
        </w:rPr>
        <w:t>二、本合同书适用于一方当事人（受托方）以技术知识为另一方（委托方）解决特定技术问题所订立的合同。</w:t>
      </w:r>
    </w:p>
    <w:p>
      <w:pPr>
        <w:pStyle w:val="null3"/>
        <w:ind w:firstLine="560"/>
        <w:jc w:val="both"/>
      </w:pPr>
      <w:r>
        <w:rPr>
          <w:sz w:val="24"/>
        </w:rPr>
        <w:t>三、签约一方为多个当事人的，可按各自在合同关系中的作用等，在“委托方”、“受托方”项下（增页）分别排列为共同委托人或共同受托人。</w:t>
      </w:r>
    </w:p>
    <w:p>
      <w:pPr>
        <w:pStyle w:val="null3"/>
        <w:ind w:firstLine="560"/>
        <w:jc w:val="both"/>
      </w:pPr>
      <w:r>
        <w:rPr>
          <w:sz w:val="24"/>
        </w:rPr>
        <w:t>四、本合同书未尽事项，可由当事人附页另行约定，并作为本合同的组成部分。</w:t>
      </w:r>
    </w:p>
    <w:p>
      <w:pPr>
        <w:pStyle w:val="null3"/>
        <w:ind w:firstLine="560"/>
        <w:jc w:val="both"/>
      </w:pPr>
      <w:r>
        <w:rPr>
          <w:sz w:val="24"/>
        </w:rPr>
        <w:t>五、当事人使用本合同书时约定无需填写的条款，应在该条款处注明“无”等字样。</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880"/>
        <w:jc w:val="center"/>
      </w:pPr>
      <w:r>
        <w:rPr>
          <w:sz w:val="27"/>
          <w:b/>
        </w:rPr>
        <w:t>技术服务合同</w:t>
      </w:r>
    </w:p>
    <w:p>
      <w:pPr>
        <w:pStyle w:val="null3"/>
        <w:ind w:firstLine="640"/>
        <w:jc w:val="center"/>
      </w:pPr>
      <w:r>
        <w:rPr>
          <w:sz w:val="24"/>
          <w:b/>
        </w:rPr>
        <w:t>委托方（甲方）：</w:t>
      </w:r>
      <w:r>
        <w:rPr>
          <w:sz w:val="24"/>
          <w:u w:val="single"/>
        </w:rPr>
        <w:t>广州市规划和自然资源局</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传 真：</w:t>
      </w:r>
    </w:p>
    <w:p>
      <w:pPr>
        <w:pStyle w:val="null3"/>
        <w:ind w:firstLine="480"/>
        <w:jc w:val="both"/>
      </w:pPr>
      <w:r>
        <w:rPr>
          <w:sz w:val="24"/>
        </w:rPr>
        <w:t>电子信箱：</w:t>
      </w:r>
    </w:p>
    <w:p>
      <w:pPr>
        <w:pStyle w:val="null3"/>
        <w:ind w:firstLine="482"/>
        <w:jc w:val="both"/>
      </w:pPr>
      <w:r>
        <w:rPr>
          <w:sz w:val="24"/>
          <w:b/>
        </w:rPr>
        <w:t>受托方（乙方）：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传 真：</w:t>
      </w:r>
    </w:p>
    <w:p>
      <w:pPr>
        <w:pStyle w:val="null3"/>
        <w:ind w:firstLine="480"/>
        <w:jc w:val="both"/>
      </w:pPr>
      <w:r>
        <w:rPr>
          <w:sz w:val="24"/>
        </w:rPr>
        <w:t>电子信箱：</w:t>
      </w:r>
    </w:p>
    <w:p>
      <w:pPr>
        <w:pStyle w:val="null3"/>
        <w:ind w:firstLine="480"/>
        <w:jc w:val="both"/>
      </w:pPr>
      <w:r>
        <w:rPr>
          <w:sz w:val="24"/>
        </w:rPr>
        <w:t>本合同甲方委托乙方就</w:t>
      </w:r>
      <w:r>
        <w:rPr>
          <w:sz w:val="24"/>
          <w:b/>
          <w:u w:val="single"/>
        </w:rPr>
        <w:t>重点地区及重要专项领域规划编制经费—广州市“平急两用”公共基础设施建设总体规划</w:t>
      </w:r>
      <w:r>
        <w:rPr>
          <w:sz w:val="24"/>
        </w:rPr>
        <w:t>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0"/>
        <w:jc w:val="both"/>
      </w:pPr>
      <w:r>
        <w:rPr>
          <w:sz w:val="24"/>
        </w:rPr>
        <w:t>（一）城市韧性评估</w:t>
      </w:r>
    </w:p>
    <w:p>
      <w:pPr>
        <w:pStyle w:val="null3"/>
        <w:ind w:firstLine="480"/>
        <w:jc w:val="both"/>
      </w:pPr>
      <w:r>
        <w:rPr>
          <w:sz w:val="24"/>
        </w:rPr>
        <w:t>基于国土空间总体规划以及公共卫生、综合防灾、人防工程等专项规划、调查的相关现状评估内容，识别城市在自然灾害、公共卫生、事故灾害等方面的主要问题与风险点，评估城市安全韧性水平，提出“平急两用”公共基础设施设施短板与布局选址建议。</w:t>
      </w:r>
    </w:p>
    <w:p>
      <w:pPr>
        <w:pStyle w:val="null3"/>
        <w:ind w:firstLine="480"/>
        <w:jc w:val="both"/>
      </w:pPr>
      <w:r>
        <w:rPr>
          <w:sz w:val="24"/>
        </w:rPr>
        <w:t>（二）“平急两用”设施需求分析</w:t>
      </w:r>
    </w:p>
    <w:p>
      <w:pPr>
        <w:pStyle w:val="null3"/>
        <w:ind w:firstLine="480"/>
        <w:jc w:val="both"/>
      </w:pPr>
      <w:r>
        <w:rPr>
          <w:sz w:val="24"/>
        </w:rPr>
        <w:t>结合“平急两用”旅游居住设施、医疗应急服务点、城郊大型仓储基地等存量资源摸查情况，对标相关设施建设目标，综合考虑广州市人口规模、城市发展情况、疫情防控需要，综合研判各类“平急两用”公共基础设施需求。</w:t>
      </w:r>
    </w:p>
    <w:p>
      <w:pPr>
        <w:pStyle w:val="null3"/>
        <w:ind w:firstLine="480"/>
        <w:jc w:val="both"/>
      </w:pPr>
      <w:r>
        <w:rPr>
          <w:sz w:val="24"/>
        </w:rPr>
        <w:t>（三）目标与指标</w:t>
      </w:r>
    </w:p>
    <w:p>
      <w:pPr>
        <w:pStyle w:val="null3"/>
        <w:ind w:firstLine="480"/>
        <w:jc w:val="both"/>
      </w:pPr>
      <w:r>
        <w:rPr>
          <w:sz w:val="24"/>
        </w:rPr>
        <w:t>落实上级部门有关任务要求，结合广州市发展阶段和特点，从提升和完善灾害风险预防应对能力出发，合理确定全市、各区、各类“平急两用”公共基础设施的建设目标任务，统筹综合防灾、公共卫生、城乡融合等专项规划的有关要求，确定广州市“平急两用”公共基础设施建设的量化指标，并细化形成2025年、2027年等不同规划期限内建设目标、规模与时序安排。</w:t>
      </w:r>
    </w:p>
    <w:p>
      <w:pPr>
        <w:pStyle w:val="null3"/>
        <w:ind w:firstLine="480"/>
        <w:jc w:val="both"/>
      </w:pPr>
      <w:r>
        <w:rPr>
          <w:sz w:val="24"/>
        </w:rPr>
        <w:t>（四）选址与建设指引</w:t>
      </w:r>
    </w:p>
    <w:p>
      <w:pPr>
        <w:pStyle w:val="null3"/>
        <w:ind w:firstLine="480"/>
        <w:jc w:val="both"/>
      </w:pPr>
      <w:r>
        <w:rPr>
          <w:sz w:val="24"/>
        </w:rPr>
        <w:t>充分衔接相关标准、指引，明确各类新建、改（扩）建“平急两用”公共基础设施用地选址、建筑设计等方面的要求，形成各类设施选址要求及建设指引，推动广州积极稳步落实“平急两用”公共基础设施建设目标。</w:t>
      </w:r>
    </w:p>
    <w:p>
      <w:pPr>
        <w:pStyle w:val="null3"/>
        <w:ind w:firstLine="480"/>
        <w:jc w:val="both"/>
      </w:pPr>
      <w:r>
        <w:rPr>
          <w:sz w:val="24"/>
        </w:rPr>
        <w:t>（五）规划空间布局</w:t>
      </w:r>
    </w:p>
    <w:p>
      <w:pPr>
        <w:pStyle w:val="null3"/>
        <w:ind w:firstLine="480"/>
        <w:jc w:val="both"/>
      </w:pPr>
      <w:r>
        <w:rPr>
          <w:sz w:val="24"/>
        </w:rPr>
        <w:t>综合确定广州市“平急两用”公共基础设施的总体布局，统筹“平急两用”设施空间规划选址布局和用地保障，形成全市“平急两用”公共基础设施布局规划图和各类“平急两用”公共基础设施布局规划图。</w:t>
      </w:r>
    </w:p>
    <w:p>
      <w:pPr>
        <w:pStyle w:val="null3"/>
        <w:ind w:firstLine="480"/>
        <w:jc w:val="both"/>
      </w:pPr>
      <w:r>
        <w:rPr>
          <w:sz w:val="24"/>
        </w:rPr>
        <w:t>（六）分区规划指引</w:t>
      </w:r>
    </w:p>
    <w:p>
      <w:pPr>
        <w:pStyle w:val="null3"/>
        <w:ind w:firstLine="480"/>
        <w:jc w:val="both"/>
      </w:pPr>
      <w:r>
        <w:rPr>
          <w:sz w:val="24"/>
        </w:rPr>
        <w:t>结合各区“平急两用”公共基础设施布点规划及项目申报情况，考虑各区存量资源及建设潜力，制定各区“平急两用”公共基础设施建设指引，明确各区“平急两用”基础设施建设指标、布局要点、项目安排等。</w:t>
      </w:r>
    </w:p>
    <w:p>
      <w:pPr>
        <w:pStyle w:val="null3"/>
        <w:ind w:firstLine="480"/>
        <w:jc w:val="both"/>
      </w:pPr>
      <w:r>
        <w:rPr>
          <w:sz w:val="24"/>
        </w:rPr>
        <w:t>（七）近期行动与项目</w:t>
      </w:r>
    </w:p>
    <w:p>
      <w:pPr>
        <w:pStyle w:val="null3"/>
        <w:ind w:firstLine="480"/>
        <w:jc w:val="both"/>
      </w:pPr>
      <w:r>
        <w:rPr>
          <w:sz w:val="24"/>
        </w:rPr>
        <w:t>加强本规划与国土空间总体规划、相关行业领域专项规划以及详细规划的衔接，结合各区布点规划建立“平急两用”公共基础设施近期建设项目库。</w:t>
      </w:r>
    </w:p>
    <w:p>
      <w:pPr>
        <w:pStyle w:val="null3"/>
        <w:ind w:firstLine="480"/>
        <w:jc w:val="both"/>
      </w:pPr>
      <w:r>
        <w:rPr>
          <w:sz w:val="24"/>
        </w:rPr>
        <w:t>（八）实施保障</w:t>
      </w:r>
    </w:p>
    <w:p>
      <w:pPr>
        <w:pStyle w:val="null3"/>
        <w:ind w:firstLine="480"/>
        <w:jc w:val="both"/>
      </w:pPr>
      <w:r>
        <w:rPr>
          <w:sz w:val="24"/>
        </w:rPr>
        <w:t>明确部门分工制定规划实施资金保障机制、土地保障机制、规划实施机制、设施管理机制、评估维护机制等方面工作建议。</w:t>
      </w:r>
    </w:p>
    <w:p>
      <w:pPr>
        <w:pStyle w:val="null3"/>
        <w:ind w:firstLine="482"/>
        <w:jc w:val="both"/>
      </w:pPr>
      <w:r>
        <w:rPr>
          <w:sz w:val="24"/>
          <w:b/>
        </w:rPr>
        <w:t>第二条：乙方应按下列要求完成技术服务工作：</w:t>
      </w:r>
    </w:p>
    <w:p>
      <w:pPr>
        <w:pStyle w:val="null3"/>
        <w:ind w:firstLine="480"/>
        <w:jc w:val="both"/>
      </w:pPr>
      <w:r>
        <w:rPr>
          <w:sz w:val="24"/>
        </w:rPr>
        <w:t>1．技术服务地点：</w:t>
      </w:r>
      <w:r>
        <w:rPr>
          <w:sz w:val="24"/>
          <w:u w:val="single"/>
        </w:rPr>
        <w:t xml:space="preserve">  广州市 </w:t>
      </w:r>
    </w:p>
    <w:p>
      <w:pPr>
        <w:pStyle w:val="null3"/>
        <w:ind w:firstLine="480"/>
        <w:jc w:val="both"/>
      </w:pPr>
      <w:r>
        <w:rPr>
          <w:sz w:val="24"/>
        </w:rPr>
        <w:t>2．技术服务期限：</w:t>
      </w:r>
      <w:r>
        <w:rPr>
          <w:sz w:val="24"/>
          <w:u w:val="single"/>
        </w:rPr>
        <w:t>签订合同之日起至202  年  月  日完成。</w:t>
      </w:r>
    </w:p>
    <w:p>
      <w:pPr>
        <w:pStyle w:val="null3"/>
        <w:ind w:firstLine="480"/>
        <w:jc w:val="both"/>
      </w:pPr>
      <w:r>
        <w:rPr>
          <w:sz w:val="24"/>
        </w:rPr>
        <w:t>3．技术服务进度：</w:t>
      </w:r>
      <w:r>
        <w:rPr>
          <w:sz w:val="24"/>
          <w:u w:val="single"/>
        </w:rPr>
        <w:t>202  年  月  日前提交中期成果，202  年  月  日前提交最终成果。</w:t>
      </w:r>
    </w:p>
    <w:p>
      <w:pPr>
        <w:pStyle w:val="null3"/>
        <w:ind w:firstLine="480"/>
        <w:jc w:val="both"/>
      </w:pPr>
      <w:r>
        <w:rPr>
          <w:sz w:val="24"/>
        </w:rPr>
        <w:t>4．技术服务质量要求：</w:t>
      </w:r>
      <w:r>
        <w:rPr>
          <w:sz w:val="24"/>
          <w:u w:val="single"/>
        </w:rPr>
        <w:t>成果必须符合行业规范、地方通用标准以及项目任务书的要求。</w:t>
      </w:r>
    </w:p>
    <w:p>
      <w:pPr>
        <w:pStyle w:val="null3"/>
        <w:ind w:firstLine="480"/>
        <w:jc w:val="both"/>
      </w:pPr>
      <w:r>
        <w:rPr>
          <w:sz w:val="24"/>
        </w:rPr>
        <w:t>5．技术服务质量期限要求：</w:t>
      </w:r>
      <w:r>
        <w:rPr>
          <w:sz w:val="24"/>
          <w:u w:val="single"/>
        </w:rPr>
        <w:t>与合同及工作需要期限一致。</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1．提供技术资料：</w:t>
      </w:r>
      <w:r>
        <w:rPr>
          <w:sz w:val="24"/>
          <w:u w:val="single"/>
        </w:rPr>
        <w:t>与本项目相关的文件资料，具体与乙方协商确定。</w:t>
      </w:r>
    </w:p>
    <w:p>
      <w:pPr>
        <w:pStyle w:val="null3"/>
        <w:ind w:firstLine="480"/>
        <w:jc w:val="both"/>
      </w:pPr>
      <w:r>
        <w:rPr>
          <w:sz w:val="24"/>
        </w:rPr>
        <w:t>2．提供工作条件：</w:t>
      </w:r>
      <w:r>
        <w:rPr>
          <w:sz w:val="24"/>
          <w:u w:val="single"/>
        </w:rPr>
        <w:t>负责项目成果评审组织、技术协调、技术服务费申请。</w:t>
      </w:r>
    </w:p>
    <w:p>
      <w:pPr>
        <w:pStyle w:val="null3"/>
        <w:ind w:firstLine="480"/>
        <w:jc w:val="both"/>
      </w:pPr>
      <w:r>
        <w:rPr>
          <w:sz w:val="24"/>
        </w:rPr>
        <w:t>3．甲方提供上述工作条件和协作事项的时间及方式：</w:t>
      </w:r>
      <w:r>
        <w:rPr>
          <w:sz w:val="24"/>
          <w:u w:val="single"/>
        </w:rPr>
        <w:t>与本项目相关的文件资料在双方协商确定清单后15个工作日内提供。</w:t>
      </w:r>
    </w:p>
    <w:p>
      <w:pPr>
        <w:pStyle w:val="null3"/>
        <w:ind w:firstLine="482"/>
        <w:jc w:val="both"/>
      </w:pPr>
      <w:r>
        <w:rPr>
          <w:sz w:val="24"/>
          <w:b/>
        </w:rPr>
        <w:t>第四条：甲方向乙方支付技术服务报酬及支付方式为：</w:t>
      </w:r>
    </w:p>
    <w:p>
      <w:pPr>
        <w:pStyle w:val="null3"/>
        <w:ind w:firstLine="480"/>
        <w:jc w:val="both"/>
      </w:pPr>
      <w:r>
        <w:rPr>
          <w:sz w:val="24"/>
        </w:rPr>
        <w:t>1.技术服务费总额为：</w:t>
      </w:r>
      <w:r>
        <w:rPr>
          <w:sz w:val="24"/>
          <w:u w:val="single"/>
        </w:rPr>
        <w:t>人民币    万元(¥     元)。</w:t>
      </w:r>
    </w:p>
    <w:p>
      <w:pPr>
        <w:pStyle w:val="null3"/>
        <w:ind w:firstLine="480"/>
        <w:jc w:val="both"/>
      </w:pPr>
      <w:r>
        <w:rPr>
          <w:sz w:val="24"/>
        </w:rPr>
        <w:t>2.技术服务费由甲方</w:t>
      </w:r>
      <w:r>
        <w:rPr>
          <w:sz w:val="24"/>
          <w:u w:val="single"/>
        </w:rPr>
        <w:t>分三期</w:t>
      </w:r>
      <w:r>
        <w:rPr>
          <w:sz w:val="24"/>
        </w:rPr>
        <w:t>支付乙方。</w:t>
      </w:r>
    </w:p>
    <w:p>
      <w:pPr>
        <w:pStyle w:val="null3"/>
        <w:ind w:firstLine="480"/>
        <w:jc w:val="both"/>
      </w:pPr>
      <w:r>
        <w:rPr>
          <w:sz w:val="24"/>
        </w:rPr>
        <w:t>3.乙方须根据甲方分期支付的技术服务费开具相应的发票金额，在甲方支付技术服务费的5个工作日前，乙方应向甲方提供相应金额的正式完税发票。</w:t>
      </w:r>
    </w:p>
    <w:p>
      <w:pPr>
        <w:pStyle w:val="null3"/>
        <w:ind w:firstLine="480"/>
        <w:jc w:val="both"/>
      </w:pPr>
      <w:r>
        <w:rPr>
          <w:sz w:val="24"/>
        </w:rPr>
        <w:t>4.乙方提供上述合法有效发票是甲方付款的前提条件，逾期不提供的，甲方可以顺延付款时间并无需承担任何责任。乙方不按合同约定提供发票给甲方造成损失的，由乙方承担。</w:t>
      </w:r>
    </w:p>
    <w:p>
      <w:pPr>
        <w:pStyle w:val="null3"/>
        <w:ind w:firstLine="480"/>
        <w:jc w:val="both"/>
      </w:pPr>
      <w:r>
        <w:rPr>
          <w:sz w:val="24"/>
        </w:rPr>
        <w:t>具体支付方式和时间如下：</w:t>
      </w:r>
    </w:p>
    <w:p>
      <w:pPr>
        <w:pStyle w:val="null3"/>
        <w:ind w:firstLine="480"/>
        <w:jc w:val="both"/>
      </w:pPr>
      <w:r>
        <w:rPr>
          <w:sz w:val="24"/>
        </w:rPr>
        <w:t>1期：支付比例50%</w:t>
      </w:r>
      <w:r>
        <w:rPr>
          <w:sz w:val="24"/>
        </w:rPr>
        <w:t>，</w:t>
      </w:r>
      <w:r>
        <w:rPr>
          <w:sz w:val="24"/>
        </w:rPr>
        <w:t>项目合同签订后，甲方应在合同签订生效以及具备实施条件后5个工作日内支付合同总金额的50%。预计在2024年12月31日前支付第一期费用。</w:t>
      </w:r>
    </w:p>
    <w:p>
      <w:pPr>
        <w:pStyle w:val="null3"/>
        <w:ind w:firstLine="480"/>
        <w:jc w:val="both"/>
      </w:pPr>
      <w:r>
        <w:rPr>
          <w:sz w:val="24"/>
        </w:rPr>
        <w:t>2期：支付比例30%</w:t>
      </w:r>
      <w:r>
        <w:rPr>
          <w:sz w:val="24"/>
        </w:rPr>
        <w:t>，</w:t>
      </w:r>
      <w:r>
        <w:rPr>
          <w:sz w:val="24"/>
        </w:rPr>
        <w:t>乙方完成中期成果并通过审查后，甲方收到发票后向乙方支付本项目合同总金额的30%。预计在2025年6月30日前支付第二期费用。</w:t>
      </w:r>
    </w:p>
    <w:p>
      <w:pPr>
        <w:pStyle w:val="null3"/>
        <w:ind w:firstLine="480"/>
        <w:jc w:val="both"/>
      </w:pPr>
      <w:r>
        <w:rPr>
          <w:sz w:val="24"/>
        </w:rPr>
        <w:t>3期：支付比例20%</w:t>
      </w:r>
      <w:r>
        <w:rPr>
          <w:sz w:val="24"/>
        </w:rPr>
        <w:t>，</w:t>
      </w:r>
      <w:r>
        <w:rPr>
          <w:sz w:val="24"/>
        </w:rPr>
        <w:t>乙方完成终期成果，经甲方组织验收通过，由甲方出具结题函，完成成果归档后，甲方收到发票后向乙方支付本项目合同总金额的20%。预计在2025年10月31日前支付第三期费用。</w:t>
      </w:r>
    </w:p>
    <w:p>
      <w:pPr>
        <w:pStyle w:val="null3"/>
        <w:ind w:firstLine="480"/>
        <w:jc w:val="both"/>
      </w:pPr>
      <w:r>
        <w:rPr>
          <w:sz w:val="24"/>
        </w:rPr>
        <w:t>（4）因甲方使用的是财政资金，甲方在规定时间内办理支付手续即视为已经按时支付，具体到账时间以财政拨款为准。每期支付，甲方均需按规定程序向财政部门申请办理财政支付手续（政府财政支付部门审核的时间不确定，故具体到账时间甲方不作保证。）因财政预算资金的指标未及时下达、财政审核时间过长、集中支付延误等致乙方收款延迟到账，不属于甲方违约情形，甲方无需承担任何责任。</w:t>
      </w:r>
    </w:p>
    <w:p>
      <w:pPr>
        <w:pStyle w:val="null3"/>
        <w:ind w:firstLine="480"/>
        <w:jc w:val="both"/>
      </w:pPr>
      <w:r>
        <w:rPr>
          <w:sz w:val="24"/>
        </w:rPr>
        <w:t>乙方开户银行名称、地址和账号为：</w:t>
      </w:r>
    </w:p>
    <w:p>
      <w:pPr>
        <w:pStyle w:val="null3"/>
        <w:ind w:firstLine="480"/>
        <w:jc w:val="both"/>
      </w:pPr>
      <w:r>
        <w:rPr>
          <w:sz w:val="24"/>
        </w:rPr>
        <w:t>开户名称：</w:t>
      </w:r>
    </w:p>
    <w:p>
      <w:pPr>
        <w:pStyle w:val="null3"/>
        <w:ind w:firstLine="480"/>
        <w:jc w:val="both"/>
      </w:pPr>
      <w:r>
        <w:rPr>
          <w:sz w:val="24"/>
        </w:rPr>
        <w:t>开户银行：</w:t>
      </w:r>
    </w:p>
    <w:p>
      <w:pPr>
        <w:pStyle w:val="null3"/>
        <w:ind w:firstLine="480"/>
        <w:jc w:val="both"/>
      </w:pPr>
      <w:r>
        <w:rPr>
          <w:sz w:val="24"/>
        </w:rPr>
        <w:t>地 址：</w:t>
      </w:r>
    </w:p>
    <w:p>
      <w:pPr>
        <w:pStyle w:val="null3"/>
        <w:ind w:firstLine="480"/>
        <w:jc w:val="both"/>
      </w:pPr>
      <w:r>
        <w:rPr>
          <w:sz w:val="24"/>
        </w:rPr>
        <w:t>账 号：</w:t>
      </w:r>
    </w:p>
    <w:p>
      <w:pPr>
        <w:pStyle w:val="null3"/>
        <w:ind w:firstLine="482"/>
        <w:jc w:val="both"/>
      </w:pPr>
      <w:r>
        <w:rPr>
          <w:sz w:val="24"/>
          <w:b/>
        </w:rPr>
        <w:t>第五条：双方确定因履行本合同应遵守的保密义务如下：</w:t>
      </w:r>
    </w:p>
    <w:p>
      <w:pPr>
        <w:pStyle w:val="null3"/>
        <w:ind w:firstLine="480"/>
        <w:jc w:val="both"/>
      </w:pPr>
      <w:r>
        <w:rPr>
          <w:sz w:val="24"/>
        </w:rPr>
        <w:t>甲方：</w:t>
      </w:r>
    </w:p>
    <w:p>
      <w:pPr>
        <w:pStyle w:val="null3"/>
        <w:ind w:firstLine="480"/>
        <w:jc w:val="both"/>
      </w:pPr>
      <w:r>
        <w:rPr>
          <w:sz w:val="24"/>
        </w:rPr>
        <w:t>1. 保密内容（包括技术信息和经营信息）：</w:t>
      </w:r>
      <w:r>
        <w:rPr>
          <w:sz w:val="24"/>
          <w:u w:val="single"/>
        </w:rPr>
        <w:t>对本项目的背景材料、相关技术资料和成果等一切有关信息承担保密责任。</w:t>
      </w:r>
    </w:p>
    <w:p>
      <w:pPr>
        <w:pStyle w:val="null3"/>
        <w:ind w:firstLine="480"/>
        <w:jc w:val="both"/>
      </w:pPr>
      <w:r>
        <w:rPr>
          <w:sz w:val="24"/>
        </w:rPr>
        <w:t>2．涉密人员范围：</w:t>
      </w:r>
      <w:r>
        <w:rPr>
          <w:sz w:val="24"/>
          <w:u w:val="single"/>
        </w:rPr>
        <w:t>参与本次工作的全体人员。</w:t>
      </w:r>
    </w:p>
    <w:p>
      <w:pPr>
        <w:pStyle w:val="null3"/>
        <w:ind w:firstLine="480"/>
        <w:jc w:val="both"/>
      </w:pPr>
      <w:r>
        <w:rPr>
          <w:sz w:val="24"/>
        </w:rPr>
        <w:t>3.保密期限：</w:t>
      </w:r>
      <w:r>
        <w:rPr>
          <w:sz w:val="24"/>
          <w:u w:val="single"/>
        </w:rPr>
        <w:t>（1）一般资料的保密期限与项目期限一致；（2）涉密资料按照《中华人民共和国保守国家秘密法》有关保密期限规定执行；（3）具体可根据甲方要求再作协商。</w:t>
      </w:r>
    </w:p>
    <w:p>
      <w:pPr>
        <w:pStyle w:val="null3"/>
        <w:ind w:firstLine="480"/>
        <w:jc w:val="both"/>
      </w:pPr>
      <w:r>
        <w:rPr>
          <w:sz w:val="24"/>
        </w:rPr>
        <w:t>4．泄密责任：</w:t>
      </w:r>
      <w:r>
        <w:rPr>
          <w:sz w:val="24"/>
          <w:u w:val="single"/>
        </w:rPr>
        <w:t>按照国家、省、市的相关法律规定承担有关责任。</w:t>
      </w:r>
    </w:p>
    <w:p>
      <w:pPr>
        <w:pStyle w:val="null3"/>
        <w:ind w:firstLine="480"/>
        <w:jc w:val="both"/>
      </w:pPr>
      <w:r>
        <w:rPr>
          <w:sz w:val="24"/>
        </w:rPr>
        <w:t>乙方：</w:t>
      </w:r>
    </w:p>
    <w:p>
      <w:pPr>
        <w:pStyle w:val="null3"/>
        <w:ind w:firstLine="480"/>
        <w:jc w:val="both"/>
      </w:pPr>
      <w:r>
        <w:rPr>
          <w:sz w:val="24"/>
        </w:rPr>
        <w:t xml:space="preserve">1．保密内容（包括技术信息和经营信息）: </w:t>
      </w:r>
      <w:r>
        <w:rPr>
          <w:sz w:val="24"/>
          <w:u w:val="single"/>
        </w:rPr>
        <w:t>对本项目的背景材料、相关技术资料和成果等一切有关信息承担保密责任。</w:t>
      </w:r>
    </w:p>
    <w:p>
      <w:pPr>
        <w:pStyle w:val="null3"/>
        <w:ind w:firstLine="480"/>
        <w:jc w:val="both"/>
      </w:pPr>
      <w:r>
        <w:rPr>
          <w:sz w:val="24"/>
        </w:rPr>
        <w:t xml:space="preserve">2．涉密人员范围: </w:t>
      </w:r>
      <w:r>
        <w:rPr>
          <w:sz w:val="24"/>
          <w:u w:val="single"/>
        </w:rPr>
        <w:t>参与本次工作的全体人员。</w:t>
      </w:r>
    </w:p>
    <w:p>
      <w:pPr>
        <w:pStyle w:val="null3"/>
        <w:ind w:firstLine="480"/>
        <w:jc w:val="both"/>
      </w:pPr>
      <w:r>
        <w:rPr>
          <w:sz w:val="24"/>
        </w:rPr>
        <w:t>3．保密期限：</w:t>
      </w:r>
      <w:r>
        <w:rPr>
          <w:sz w:val="24"/>
          <w:u w:val="single"/>
        </w:rPr>
        <w:t>（1）一般资料的保密期限与项目期限一致；（2）涉密资料按照《中华人民共和国保守国家秘密法》有关保密期限规定执行；（3）具体可根据甲方要求再作协商。</w:t>
      </w:r>
    </w:p>
    <w:p>
      <w:pPr>
        <w:pStyle w:val="null3"/>
        <w:ind w:firstLine="480"/>
        <w:jc w:val="both"/>
      </w:pPr>
      <w:r>
        <w:rPr>
          <w:sz w:val="24"/>
        </w:rPr>
        <w:t>4．泄密责任：</w:t>
      </w:r>
      <w:r>
        <w:rPr>
          <w:sz w:val="24"/>
          <w:u w:val="single"/>
        </w:rPr>
        <w:t>按照国家、省、市的相关法律规定承担有关责任。</w:t>
      </w:r>
    </w:p>
    <w:p>
      <w:pPr>
        <w:pStyle w:val="null3"/>
        <w:ind w:firstLine="482"/>
        <w:jc w:val="both"/>
      </w:pPr>
      <w:r>
        <w:rPr>
          <w:sz w:val="24"/>
          <w:b/>
        </w:rPr>
        <w:t>第六条：双方确定以下列标准和方式对乙方的技术服务工作成果进行验收：</w:t>
      </w:r>
    </w:p>
    <w:p>
      <w:pPr>
        <w:pStyle w:val="null3"/>
        <w:ind w:firstLine="480"/>
        <w:jc w:val="both"/>
      </w:pPr>
      <w:r>
        <w:rPr>
          <w:sz w:val="24"/>
        </w:rPr>
        <w:t>1．乙方完成技术服务工作的形式：</w:t>
      </w:r>
      <w:r>
        <w:rPr>
          <w:sz w:val="24"/>
          <w:u w:val="single"/>
        </w:rPr>
        <w:t>本项工作采取分阶段评审的方式，甲方负责组织审查工作，并出具审查书面意见。乙方负责提供审查和验收所必需的汇报材料和相关文件。</w:t>
      </w:r>
    </w:p>
    <w:p>
      <w:pPr>
        <w:pStyle w:val="null3"/>
        <w:ind w:firstLine="480"/>
        <w:jc w:val="both"/>
      </w:pPr>
      <w:r>
        <w:rPr>
          <w:sz w:val="24"/>
        </w:rPr>
        <w:t>2．技术服务工作成果的验收标准：</w:t>
      </w:r>
      <w:r>
        <w:rPr>
          <w:sz w:val="24"/>
          <w:u w:val="single"/>
        </w:rPr>
        <w:t>工作成果应符合国家、省、市相关法律、法规、条例、政策文件、规范、标准以及本项目采购需求的要求。</w:t>
      </w:r>
    </w:p>
    <w:p>
      <w:pPr>
        <w:pStyle w:val="null3"/>
        <w:ind w:firstLine="480"/>
        <w:jc w:val="both"/>
      </w:pPr>
      <w:r>
        <w:rPr>
          <w:sz w:val="24"/>
        </w:rPr>
        <w:t>3．技术服务工作成果的验收方法：</w:t>
      </w:r>
      <w:r>
        <w:rPr>
          <w:sz w:val="24"/>
          <w:u w:val="single"/>
        </w:rPr>
        <w:t>甲方组织验收。</w:t>
      </w:r>
    </w:p>
    <w:p>
      <w:pPr>
        <w:pStyle w:val="null3"/>
        <w:ind w:firstLine="480"/>
        <w:jc w:val="both"/>
      </w:pPr>
      <w:r>
        <w:rPr>
          <w:sz w:val="24"/>
        </w:rPr>
        <w:t>4．验收的时间和地点：</w:t>
      </w:r>
      <w:r>
        <w:rPr>
          <w:sz w:val="24"/>
          <w:u w:val="single"/>
        </w:rPr>
        <w:t xml:space="preserve">    年   月 广州。</w:t>
      </w:r>
    </w:p>
    <w:p>
      <w:pPr>
        <w:pStyle w:val="null3"/>
        <w:ind w:firstLine="482"/>
        <w:jc w:val="both"/>
      </w:pPr>
      <w:r>
        <w:rPr>
          <w:sz w:val="24"/>
          <w:b/>
        </w:rPr>
        <w:t>第七条：双方确定：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0"/>
        <w:jc w:val="both"/>
      </w:pPr>
      <w:r>
        <w:rPr>
          <w:sz w:val="24"/>
        </w:rPr>
        <w:t>3</w:t>
      </w:r>
      <w:r>
        <w:rPr>
          <w:sz w:val="24"/>
        </w:rPr>
        <w:t>．</w:t>
      </w:r>
      <w:r>
        <w:rPr>
          <w:sz w:val="24"/>
        </w:rPr>
        <w:t>中标后不得转包。</w:t>
      </w:r>
    </w:p>
    <w:p>
      <w:pPr>
        <w:pStyle w:val="null3"/>
        <w:ind w:firstLine="482"/>
        <w:jc w:val="both"/>
      </w:pPr>
      <w:r>
        <w:rPr>
          <w:sz w:val="24"/>
          <w:b/>
        </w:rPr>
        <w:t>第八条：双方确定，按以下约定承担各自的违约责任：</w:t>
      </w:r>
    </w:p>
    <w:p>
      <w:pPr>
        <w:pStyle w:val="null3"/>
        <w:ind w:firstLine="480"/>
        <w:jc w:val="both"/>
      </w:pPr>
      <w:r>
        <w:rPr>
          <w:sz w:val="24"/>
        </w:rPr>
        <w:t>1．甲方未能及时组织成果审查以致影响乙方工作进度的，甲方应当积极采取补救措施，保障乙方按合同收取经费的权益，具体由双方协商。</w:t>
      </w:r>
    </w:p>
    <w:p>
      <w:pPr>
        <w:pStyle w:val="null3"/>
        <w:ind w:firstLine="480"/>
        <w:jc w:val="both"/>
      </w:pPr>
      <w:r>
        <w:rPr>
          <w:sz w:val="24"/>
        </w:rPr>
        <w:t>2．合同签订后，如乙方擅自中途停止或解除合同，乙方向甲方退回已收取的全部合同款项。</w:t>
      </w:r>
    </w:p>
    <w:p>
      <w:pPr>
        <w:pStyle w:val="null3"/>
        <w:ind w:firstLine="480"/>
        <w:jc w:val="both"/>
      </w:pPr>
      <w:r>
        <w:rPr>
          <w:sz w:val="24"/>
        </w:rPr>
        <w:t>3．乙方未按时提交项目成果，甲方有权延期支付下一笔合同款项，且无需承担任何法律责任。逾期累计超过60天，甲方有权解除本合同，乙方应向甲方退回已收取的全部款项。</w:t>
      </w:r>
    </w:p>
    <w:p>
      <w:pPr>
        <w:pStyle w:val="null3"/>
        <w:ind w:firstLine="480"/>
        <w:jc w:val="both"/>
      </w:pPr>
      <w:r>
        <w:rPr>
          <w:sz w:val="24"/>
        </w:rPr>
        <w:t>4．乙方提交的项目成果质量经甲方审查认为不合格的，乙方应当负责根据甲方的要求进行修改并无偿重新提供成果或无偿采取其他补救措施，直至达到本合同约定的要求。由此造成延迟提交项目成果的，甲方有权延期支付下一笔合同款项，且无需承担任何法律责任。</w:t>
      </w:r>
    </w:p>
    <w:p>
      <w:pPr>
        <w:pStyle w:val="null3"/>
        <w:ind w:firstLine="480"/>
        <w:jc w:val="both"/>
      </w:pPr>
      <w:r>
        <w:rPr>
          <w:sz w:val="24"/>
        </w:rPr>
        <w:t>5．因乙方未按时提交项目成果，或者提交项目成果质量不合格的，除按本合同第九条第3、4点承担责任外，所造成的其他后果也均由乙方承担。如造成本项目剩余资金被财政部门收回的，乙方同意免除甲方支付剩余款项的义务，同时乙方仍应当继续按照本合同要求及项目任务书要求完成本项目直至最终成果通过甲方验收，否则，乙方应向甲方退回已收取的全部款项。因项目成果不符合合同约定要求造成的任何后果均由乙方承担。</w:t>
      </w:r>
    </w:p>
    <w:p>
      <w:pPr>
        <w:pStyle w:val="null3"/>
        <w:ind w:firstLine="480"/>
        <w:jc w:val="both"/>
      </w:pPr>
      <w:r>
        <w:rPr>
          <w:sz w:val="24"/>
        </w:rPr>
        <w:t>6．未经甲乙双方同意，任何一方不得随意更改项目任务书要求及合同要求，未遵守项目任务书要求及合同要求或未经甲乙双方同意变更项目任务书要求及合同要求的，甲方有权延期支付下一笔合同款项，且无需承担任何法律责任。</w:t>
      </w:r>
    </w:p>
    <w:p>
      <w:pPr>
        <w:pStyle w:val="null3"/>
        <w:ind w:firstLine="480"/>
        <w:jc w:val="both"/>
      </w:pPr>
      <w:r>
        <w:rPr>
          <w:sz w:val="24"/>
        </w:rPr>
        <w:t>7．甲乙双方任一方如若出现未按照本合同第五条遵守相应的保密义务，则按照法律规定承担相关责任。</w:t>
      </w:r>
    </w:p>
    <w:p>
      <w:pPr>
        <w:pStyle w:val="null3"/>
        <w:ind w:firstLine="482"/>
        <w:jc w:val="both"/>
      </w:pPr>
      <w:r>
        <w:rPr>
          <w:sz w:val="24"/>
          <w:b/>
        </w:rPr>
        <w:t>第九条：一方变更项目联系人的，应当及时以书面形式通知另一方，未及时通知并影响本合同履行或造成损失的，应承担相应的责任。</w:t>
      </w:r>
    </w:p>
    <w:p>
      <w:pPr>
        <w:pStyle w:val="null3"/>
        <w:ind w:firstLine="482"/>
        <w:jc w:val="both"/>
      </w:pPr>
      <w:r>
        <w:rPr>
          <w:sz w:val="24"/>
          <w:b/>
        </w:rPr>
        <w:t>第十条：双方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ind w:firstLine="482"/>
        <w:jc w:val="both"/>
      </w:pPr>
      <w:r>
        <w:rPr>
          <w:sz w:val="24"/>
          <w:b/>
        </w:rPr>
        <w:t>第十一条：双方因履行本合同而发生的争议，应协商、调解解决。协商、调解不成的，确定按以下第2种方式处理：</w:t>
      </w:r>
    </w:p>
    <w:p>
      <w:pPr>
        <w:pStyle w:val="null3"/>
        <w:ind w:firstLine="480"/>
        <w:jc w:val="both"/>
      </w:pPr>
      <w:r>
        <w:rPr>
          <w:sz w:val="24"/>
        </w:rPr>
        <w:t>1．提交仲裁委员会仲裁；</w:t>
      </w:r>
    </w:p>
    <w:p>
      <w:pPr>
        <w:pStyle w:val="null3"/>
        <w:ind w:firstLine="480"/>
        <w:jc w:val="both"/>
      </w:pPr>
      <w:r>
        <w:rPr>
          <w:sz w:val="24"/>
        </w:rPr>
        <w:t>2．依法向甲方所在地人民法院起诉。</w:t>
      </w:r>
    </w:p>
    <w:p>
      <w:pPr>
        <w:pStyle w:val="null3"/>
        <w:ind w:firstLine="482"/>
        <w:jc w:val="both"/>
      </w:pPr>
      <w:r>
        <w:rPr>
          <w:sz w:val="24"/>
          <w:b/>
        </w:rPr>
        <w:t>第十二条：与履行本合同有关的下列技术文件，经双方确认后，为本合同的组成部分：</w:t>
      </w:r>
    </w:p>
    <w:p>
      <w:pPr>
        <w:pStyle w:val="null3"/>
        <w:ind w:firstLine="480"/>
        <w:jc w:val="both"/>
      </w:pPr>
      <w:r>
        <w:rPr>
          <w:sz w:val="24"/>
        </w:rPr>
        <w:t>1．项目任务书。</w:t>
      </w:r>
    </w:p>
    <w:p>
      <w:pPr>
        <w:pStyle w:val="null3"/>
        <w:ind w:firstLine="482"/>
        <w:jc w:val="both"/>
      </w:pPr>
      <w:r>
        <w:rPr>
          <w:sz w:val="24"/>
          <w:b/>
        </w:rPr>
        <w:t>第十三条：双方约定本合同其他相关事项为：</w:t>
      </w:r>
    </w:p>
    <w:p>
      <w:pPr>
        <w:pStyle w:val="null3"/>
        <w:ind w:firstLine="482"/>
        <w:jc w:val="both"/>
      </w:pPr>
      <w:r>
        <w:rPr>
          <w:sz w:val="24"/>
        </w:rPr>
        <w:t>1．乙方必须履行后续跟踪服务职责。</w:t>
      </w:r>
    </w:p>
    <w:p>
      <w:pPr>
        <w:pStyle w:val="null3"/>
        <w:ind w:firstLine="482"/>
        <w:jc w:val="both"/>
      </w:pPr>
      <w:r>
        <w:rPr>
          <w:sz w:val="24"/>
        </w:rPr>
        <w:t>2．</w:t>
      </w:r>
      <w:r>
        <w:rPr>
          <w:sz w:val="24"/>
        </w:rPr>
        <w:t>乙方不得将中标项目转让或分包给他人。</w:t>
      </w:r>
    </w:p>
    <w:p>
      <w:pPr>
        <w:pStyle w:val="null3"/>
        <w:ind w:firstLine="482"/>
        <w:jc w:val="both"/>
      </w:pPr>
      <w:r>
        <w:rPr>
          <w:sz w:val="24"/>
        </w:rPr>
        <w:t>3．技术服务团队要求：乙方所提交的项目组成员名单以及项目负责人未经书面申请并获得甲方同意，不得更换。项目汇报应由项目负责人汇报，未经甲方同意不得调整汇报人。</w:t>
      </w:r>
    </w:p>
    <w:p>
      <w:pPr>
        <w:pStyle w:val="null3"/>
        <w:ind w:firstLine="482"/>
        <w:jc w:val="both"/>
      </w:pPr>
      <w:r>
        <w:rPr>
          <w:sz w:val="24"/>
          <w:b/>
        </w:rPr>
        <w:t>第十四条</w:t>
      </w:r>
      <w:r>
        <w:rPr>
          <w:sz w:val="24"/>
        </w:rPr>
        <w:t>甲方提供驻场所需的办公场所；乙方应及时制作甲方交办的与项目相关的文本成果和有关汇报材料，根据甲方要求可以开展必要的实地调研、对先进案例收集和研究等工作。乙方应委派名技术人员提供驻场服务，按甲方要求提供与本项目相关的服务，驻场人员的费用由乙方承担。</w:t>
      </w:r>
    </w:p>
    <w:p>
      <w:pPr>
        <w:pStyle w:val="null3"/>
        <w:ind w:firstLine="482"/>
        <w:jc w:val="both"/>
      </w:pPr>
      <w:r>
        <w:rPr>
          <w:sz w:val="24"/>
          <w:b/>
        </w:rPr>
        <w:t>第十五条：本合同一式</w:t>
      </w:r>
      <w:r>
        <w:rPr>
          <w:sz w:val="24"/>
          <w:b/>
          <w:u w:val="single"/>
        </w:rPr>
        <w:t xml:space="preserve">     </w:t>
      </w:r>
      <w:r>
        <w:rPr>
          <w:sz w:val="24"/>
          <w:b/>
        </w:rPr>
        <w:t>份，具有同等法律效力。</w:t>
      </w:r>
    </w:p>
    <w:p>
      <w:pPr>
        <w:pStyle w:val="null3"/>
        <w:ind w:firstLine="482"/>
        <w:jc w:val="both"/>
      </w:pPr>
      <w:r>
        <w:rPr>
          <w:sz w:val="24"/>
          <w:b/>
        </w:rPr>
        <w:t>第十六条：本合同经双方签字盖章后生效。</w:t>
      </w:r>
    </w:p>
    <w:p>
      <w:pPr>
        <w:pStyle w:val="null3"/>
        <w:ind w:firstLine="482"/>
        <w:jc w:val="both"/>
      </w:pPr>
      <w:r>
        <w:rPr/>
        <w:t xml:space="preserve"> </w:t>
      </w:r>
    </w:p>
    <w:p>
      <w:pPr>
        <w:pStyle w:val="null3"/>
        <w:ind w:firstLine="482"/>
        <w:jc w:val="both"/>
      </w:pPr>
      <w:r>
        <w:rPr/>
        <w:t xml:space="preserve"> </w:t>
      </w:r>
    </w:p>
    <w:p>
      <w:pPr>
        <w:pStyle w:val="null3"/>
        <w:ind w:firstLine="480"/>
        <w:jc w:val="both"/>
      </w:pPr>
      <w:r>
        <w:rPr>
          <w:sz w:val="24"/>
        </w:rPr>
        <w:t>甲方：</w:t>
      </w:r>
      <w:r>
        <w:rPr>
          <w:sz w:val="24"/>
          <w:u w:val="single"/>
        </w:rPr>
        <w:t>广州市规划和自然资源局（盖章）</w:t>
      </w:r>
    </w:p>
    <w:p>
      <w:pPr>
        <w:pStyle w:val="null3"/>
        <w:ind w:firstLine="480"/>
        <w:jc w:val="both"/>
      </w:pPr>
      <w:r>
        <w:rPr>
          <w:sz w:val="24"/>
        </w:rPr>
        <w:t>法定代表人 项目联系人：</w:t>
      </w:r>
      <w:r>
        <w:rPr>
          <w:sz w:val="24"/>
          <w:u w:val="single"/>
        </w:rPr>
        <w:t>　　　　 　（签名）</w:t>
      </w:r>
    </w:p>
    <w:p>
      <w:pPr>
        <w:pStyle w:val="null3"/>
        <w:ind w:firstLine="480"/>
        <w:jc w:val="both"/>
      </w:pPr>
      <w:r>
        <w:rPr>
          <w:sz w:val="24"/>
        </w:rPr>
        <w:t xml:space="preserve">                              年     月     日</w:t>
      </w:r>
    </w:p>
    <w:p>
      <w:pPr>
        <w:pStyle w:val="null3"/>
        <w:ind w:firstLine="480"/>
        <w:jc w:val="both"/>
      </w:pPr>
      <w:r>
        <w:rPr>
          <w:sz w:val="24"/>
        </w:rPr>
        <w:t>乙方：</w:t>
      </w:r>
    </w:p>
    <w:p>
      <w:pPr>
        <w:pStyle w:val="null3"/>
        <w:ind w:firstLine="480"/>
        <w:jc w:val="both"/>
      </w:pPr>
      <w:r>
        <w:rPr>
          <w:sz w:val="24"/>
        </w:rPr>
        <w:t>法定代表人／委托代理人：</w:t>
      </w:r>
      <w:r>
        <w:rPr>
          <w:sz w:val="24"/>
          <w:u w:val="single"/>
        </w:rPr>
        <w:t>　　　　      　　（签名）</w:t>
      </w:r>
    </w:p>
    <w:p>
      <w:pPr>
        <w:pStyle w:val="null3"/>
        <w:ind w:firstLine="480"/>
        <w:jc w:val="both"/>
      </w:pPr>
      <w:r>
        <w:rPr>
          <w:sz w:val="24"/>
        </w:rPr>
        <w:t xml:space="preserve">                              年     月     日</w:t>
      </w:r>
    </w:p>
    <w:p>
      <w:pPr>
        <w:pStyle w:val="null3"/>
      </w:pPr>
      <w:r>
        <w:rPr>
          <w:sz w:val="24"/>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440101-2024-23864</w:t>
      </w:r>
    </w:p>
    <w:p>
      <w:pPr>
        <w:pStyle w:val="null3"/>
        <w:jc w:val="center"/>
        <w:outlineLvl w:val="3"/>
      </w:pPr>
      <w:r>
        <w:rPr>
          <w:sz w:val="24"/>
          <w:b/>
        </w:rPr>
        <w:t>采购项目编号：</w:t>
      </w:r>
      <w:r>
        <w:rPr>
          <w:sz w:val="24"/>
          <w:b/>
        </w:rPr>
        <w:t>GZCQC2400FG11011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重点地区及重要专项领域规划编制经费—广州市“平急两用”公共基础设施建设总体规划</w:t>
      </w:r>
      <w:r>
        <w:rPr>
          <w:u w:val="single"/>
        </w:rPr>
        <w:t>”</w:t>
      </w:r>
      <w:r>
        <w:rPr/>
        <w:t>项目的招标[采购项目编号为：</w:t>
      </w:r>
      <w:r>
        <w:rPr>
          <w:u w:val="single"/>
        </w:rPr>
        <w:t>GZCQC2400FG11011</w:t>
      </w:r>
      <w:r>
        <w:rPr/>
        <w:t>]，我方愿参与投标。</w:t>
      </w:r>
    </w:p>
    <w:p>
      <w:pPr>
        <w:pStyle w:val="null3"/>
        <w:ind w:firstLine="480"/>
      </w:pPr>
      <w:r>
        <w:rPr/>
        <w:t>我方确认收到贵方提供的</w:t>
      </w:r>
      <w:r>
        <w:rPr>
          <w:u w:val="single"/>
        </w:rPr>
        <w:t>“</w:t>
      </w:r>
      <w:r>
        <w:rPr>
          <w:u w:val="single"/>
        </w:rPr>
        <w:t>重点地区及重要专项领域规划编制经费—广州市“平急两用”公共基础设施建设总体规划</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重点地区及重要专项领域规划编制经费—广州市“平急两用”公共基础设施建设总体规划</w:t>
      </w:r>
      <w:r>
        <w:rPr/>
        <w:t>”项目采购[采购项目编号为</w:t>
      </w:r>
      <w:r>
        <w:rPr/>
        <w:t>GZCQC2400FG11011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重点地区及重要专项领域规划编制经费—广州市“平急两用”公共基础设施建设总体规划</w:t>
      </w:r>
      <w:r>
        <w:rPr/>
        <w:t>招标中获中标（采购项目编号：</w:t>
      </w:r>
      <w:r>
        <w:rPr/>
        <w:t>GZCQC2400FG11011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